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holtfaction-llc"/>
    <w:p>
      <w:pPr>
        <w:pStyle w:val="Heading1"/>
      </w:pPr>
      <w:r>
        <w:t xml:space="preserve">HOLTFACTION LLC</w:t>
      </w:r>
    </w:p>
    <w:bookmarkStart w:id="9" w:name="business-loan-proposal"/>
    <w:p>
      <w:pPr>
        <w:pStyle w:val="Heading2"/>
      </w:pPr>
      <w:r>
        <w:t xml:space="preserve">BUSINESS LOAN PROPOSAL</w:t>
      </w:r>
    </w:p>
    <w:p>
      <w:pPr>
        <w:pStyle w:val="FirstParagraph"/>
      </w:pPr>
      <w:r>
        <w:rPr>
          <w:b/>
          <w:bCs/>
        </w:rPr>
        <w:t xml:space="preserve">Prepared for:</w:t>
      </w:r>
      <w:r>
        <w:t xml:space="preserve"> </w:t>
      </w:r>
      <w:r>
        <w:t xml:space="preserve">Financial Institution / Commercial Lending Department</w:t>
      </w:r>
      <w:r>
        <w:br/>
      </w:r>
      <w:r>
        <w:rPr>
          <w:b/>
          <w:bCs/>
        </w:rPr>
        <w:t xml:space="preserve">Prepared by:</w:t>
      </w:r>
      <w:r>
        <w:t xml:space="preserve"> </w:t>
      </w:r>
      <w:r>
        <w:t xml:space="preserve">Evan Holt, Owner / Managing Member</w:t>
      </w:r>
      <w:r>
        <w:br/>
      </w:r>
      <w:r>
        <w:rPr>
          <w:b/>
          <w:bCs/>
        </w:rPr>
        <w:t xml:space="preserve">Business:</w:t>
      </w:r>
      <w:r>
        <w:t xml:space="preserve"> </w:t>
      </w:r>
      <w:r>
        <w:t xml:space="preserve">Holtfaction LLC</w:t>
      </w:r>
      <w:r>
        <w:br/>
      </w:r>
      <w:r>
        <w:rPr>
          <w:b/>
          <w:bCs/>
        </w:rPr>
        <w:t xml:space="preserve">State of Formation:</w:t>
      </w:r>
      <w:r>
        <w:t xml:space="preserve"> </w:t>
      </w:r>
      <w:r>
        <w:t xml:space="preserve">Virginia</w:t>
      </w:r>
      <w:r>
        <w:br/>
      </w:r>
      <w:r>
        <w:rPr>
          <w:b/>
          <w:bCs/>
        </w:rPr>
        <w:t xml:space="preserve">Date Established:</w:t>
      </w:r>
      <w:r>
        <w:t xml:space="preserve"> </w:t>
      </w:r>
      <w:r>
        <w:t xml:space="preserve">March 16, 2026</w:t>
      </w:r>
      <w:r>
        <w:br/>
      </w:r>
      <w:r>
        <w:rPr>
          <w:b/>
          <w:bCs/>
        </w:rPr>
        <w:t xml:space="preserve">Industry:</w:t>
      </w:r>
      <w:r>
        <w:t xml:space="preserve"> </w:t>
      </w:r>
      <w:r>
        <w:t xml:space="preserve">Music, Live Entertainment &amp; Touring</w:t>
      </w:r>
      <w:r>
        <w:br/>
      </w:r>
      <w:r>
        <w:rPr>
          <w:b/>
          <w:bCs/>
        </w:rPr>
        <w:t xml:space="preserve">Loan Requested:</w:t>
      </w:r>
      <w:r>
        <w:t xml:space="preserve"> </w:t>
      </w:r>
      <w:r>
        <w:rPr>
          <w:b/>
          <w:bCs/>
        </w:rPr>
        <w:t xml:space="preserve">$150,000</w:t>
      </w:r>
    </w:p>
    <w:p>
      <w:pPr>
        <w:pStyle w:val="BodyText"/>
      </w:pPr>
      <w:r>
        <w:rPr>
          <w:b/>
          <w:bCs/>
        </w:rPr>
        <w:t xml:space="preserve">Website:</w:t>
      </w:r>
      <w:r>
        <w:t xml:space="preserve"> </w:t>
      </w:r>
      <w:r>
        <w:t xml:space="preserve">www.holtfaction.com</w:t>
      </w:r>
    </w:p>
    <w:p>
      <w:r>
        <w:pict>
          <v:rect style="width:0;height:1.5pt" o:hralign="center" o:hrstd="t" o:hr="t"/>
        </w:pict>
      </w:r>
    </w:p>
    <w:bookmarkEnd w:id="9"/>
    <w:bookmarkEnd w:id="10"/>
    <w:bookmarkStart w:id="11" w:name="executive-summary"/>
    <w:p>
      <w:pPr>
        <w:pStyle w:val="Heading1"/>
      </w:pPr>
      <w:r>
        <w:t xml:space="preserve">1. Executive Summary</w:t>
      </w:r>
    </w:p>
    <w:p>
      <w:pPr>
        <w:pStyle w:val="FirstParagraph"/>
      </w:pPr>
      <w:r>
        <w:t xml:space="preserve">Holtfaction LLC is an independent music and live-entertainment company based in Virginia, founded and operated by musician and entrepreneur</w:t>
      </w:r>
      <w:r>
        <w:t xml:space="preserve"> </w:t>
      </w:r>
      <w:r>
        <w:rPr>
          <w:b/>
          <w:bCs/>
        </w:rPr>
        <w:t xml:space="preserve">Evan Holt</w:t>
      </w:r>
      <w:r>
        <w:t xml:space="preserve">.</w:t>
      </w:r>
    </w:p>
    <w:p>
      <w:pPr>
        <w:pStyle w:val="BodyText"/>
      </w:pPr>
      <w:r>
        <w:t xml:space="preserve">Holtfaction operates as a professional alternative-rock/post-punk recording and touring business. The company generates and intends to expand revenue through live performances, touring, merchandise sales, recorded music, digital music distribution, promotional opportunities, festivals, and related entertainment activities.</w:t>
      </w:r>
    </w:p>
    <w:p>
      <w:pPr>
        <w:pStyle w:val="BodyText"/>
      </w:pPr>
      <w:r>
        <w:t xml:space="preserve">Holtfaction LLC is seeking</w:t>
      </w:r>
      <w:r>
        <w:t xml:space="preserve"> </w:t>
      </w:r>
      <w:r>
        <w:rPr>
          <w:b/>
          <w:bCs/>
        </w:rPr>
        <w:t xml:space="preserve">$150,000 in business financing</w:t>
      </w:r>
      <w:r>
        <w:t xml:space="preserve"> </w:t>
      </w:r>
      <w:r>
        <w:t xml:space="preserve">to expand its operations and establish the transportation and working-capital infrastructure necessary for a significant increase in touring activity.</w:t>
      </w:r>
    </w:p>
    <w:p>
      <w:pPr>
        <w:pStyle w:val="BodyText"/>
      </w:pPr>
      <w:r>
        <w:t xml:space="preserve">The primary investment will be the acquisition of a</w:t>
      </w:r>
      <w:r>
        <w:t xml:space="preserve"> </w:t>
      </w:r>
      <w:r>
        <w:rPr>
          <w:b/>
          <w:bCs/>
        </w:rPr>
        <w:t xml:space="preserve">touring RV/transportation vehicle and related transportation infrastructure in the amount of $100,000</w:t>
      </w:r>
      <w:r>
        <w:t xml:space="preserve">. The vehicle will serve as a long-term business asset supporting extended tours, transportation of personnel and equipment, and travel between markets.</w:t>
      </w:r>
    </w:p>
    <w:p>
      <w:pPr>
        <w:pStyle w:val="BodyText"/>
      </w:pPr>
      <w:r>
        <w:t xml:space="preserve">The remaining $50,000 will be allocated toward recording and production, musical equipment, merchandise, marketing, fuel and travel, and working capital.</w:t>
      </w:r>
    </w:p>
    <w:p>
      <w:pPr>
        <w:pStyle w:val="BodyText"/>
      </w:pPr>
      <w:r>
        <w:t xml:space="preserve">Holtfaction is currently developing an approximately</w:t>
      </w:r>
      <w:r>
        <w:t xml:space="preserve"> </w:t>
      </w:r>
      <w:r>
        <w:rPr>
          <w:b/>
          <w:bCs/>
        </w:rPr>
        <w:t xml:space="preserve">April–June 2027 East Coast touring campaign</w:t>
      </w:r>
      <w:r>
        <w:t xml:space="preserve">, with a planned route through multiple states and major regional markets.</w:t>
      </w:r>
    </w:p>
    <w:p>
      <w:pPr>
        <w:pStyle w:val="BodyText"/>
      </w:pPr>
      <w:r>
        <w:t xml:space="preserve">The company’s objective is to increase the number of paid performances, expand its audience, develop repeat venue relationships, increase merchandise and music revenue, and establish Holtfaction as a sustainable regional touring entertainment business.</w:t>
      </w:r>
    </w:p>
    <w:p>
      <w:r>
        <w:pict>
          <v:rect style="width:0;height:1.5pt" o:hralign="center" o:hrstd="t" o:hr="t"/>
        </w:pict>
      </w:r>
    </w:p>
    <w:bookmarkEnd w:id="11"/>
    <w:bookmarkStart w:id="12" w:name="company-overview"/>
    <w:p>
      <w:pPr>
        <w:pStyle w:val="Heading1"/>
      </w:pPr>
      <w:r>
        <w:t xml:space="preserve">2. Company Overview</w:t>
      </w:r>
    </w:p>
    <w:p>
      <w:pPr>
        <w:pStyle w:val="FirstParagraph"/>
      </w:pPr>
      <w:r>
        <w:rPr>
          <w:b/>
          <w:bCs/>
        </w:rPr>
        <w:t xml:space="preserve">Holtfaction LLC</w:t>
      </w:r>
      <w:r>
        <w:t xml:space="preserve"> </w:t>
      </w:r>
      <w:r>
        <w:t xml:space="preserve">was formally established in Virginia on</w:t>
      </w:r>
      <w:r>
        <w:t xml:space="preserve"> </w:t>
      </w:r>
      <w:r>
        <w:rPr>
          <w:b/>
          <w:bCs/>
        </w:rPr>
        <w:t xml:space="preserve">March 16, 2026</w:t>
      </w:r>
      <w:r>
        <w:t xml:space="preserve">.</w:t>
      </w:r>
    </w:p>
    <w:p>
      <w:pPr>
        <w:pStyle w:val="BodyText"/>
      </w:pPr>
      <w:r>
        <w:t xml:space="preserve">The company was created to provide a formal business structure for Holtfaction’s recording, touring, performance, merchandise, marketing, and entertainment activities.</w:t>
      </w:r>
    </w:p>
    <w:p>
      <w:pPr>
        <w:pStyle w:val="BodyText"/>
      </w:pPr>
      <w:r>
        <w:t xml:space="preserve">Holtfaction’s musical identity incorporates elements of:</w:t>
      </w:r>
    </w:p>
    <w:p>
      <w:pPr>
        <w:pStyle w:val="Compact"/>
        <w:numPr>
          <w:ilvl w:val="0"/>
          <w:numId w:val="1001"/>
        </w:numPr>
      </w:pPr>
      <w:r>
        <w:t xml:space="preserve">Alternative rock</w:t>
      </w:r>
    </w:p>
    <w:p>
      <w:pPr>
        <w:pStyle w:val="Compact"/>
        <w:numPr>
          <w:ilvl w:val="0"/>
          <w:numId w:val="1001"/>
        </w:numPr>
      </w:pPr>
      <w:r>
        <w:t xml:space="preserve">Grunge</w:t>
      </w:r>
    </w:p>
    <w:p>
      <w:pPr>
        <w:pStyle w:val="Compact"/>
        <w:numPr>
          <w:ilvl w:val="0"/>
          <w:numId w:val="1001"/>
        </w:numPr>
      </w:pPr>
      <w:r>
        <w:t xml:space="preserve">Post-punk</w:t>
      </w:r>
    </w:p>
    <w:p>
      <w:pPr>
        <w:pStyle w:val="Compact"/>
        <w:numPr>
          <w:ilvl w:val="0"/>
          <w:numId w:val="1001"/>
        </w:numPr>
      </w:pPr>
      <w:r>
        <w:t xml:space="preserve">Punk rock</w:t>
      </w:r>
    </w:p>
    <w:p>
      <w:pPr>
        <w:pStyle w:val="Compact"/>
        <w:numPr>
          <w:ilvl w:val="0"/>
          <w:numId w:val="1001"/>
        </w:numPr>
      </w:pPr>
      <w:r>
        <w:t xml:space="preserve">Dark rock</w:t>
      </w:r>
    </w:p>
    <w:p>
      <w:pPr>
        <w:pStyle w:val="FirstParagraph"/>
      </w:pPr>
      <w:r>
        <w:t xml:space="preserve">The company is focused on building a recognizable independent music brand while developing multiple revenue streams.</w:t>
      </w:r>
    </w:p>
    <w:p>
      <w:pPr>
        <w:pStyle w:val="BodyText"/>
      </w:pPr>
      <w:r>
        <w:t xml:space="preserve">Holtfaction is not dependent on a single source of income. Its business model combines live entertainment with merchandise, recorded music, digital distribution, marketing, and future commercial opportunities.</w:t>
      </w:r>
    </w:p>
    <w:p>
      <w:r>
        <w:pict>
          <v:rect style="width:0;height:1.5pt" o:hralign="center" o:hrstd="t" o:hr="t"/>
        </w:pict>
      </w:r>
    </w:p>
    <w:bookmarkEnd w:id="12"/>
    <w:bookmarkStart w:id="13" w:name="business-structure-and-operations"/>
    <w:p>
      <w:pPr>
        <w:pStyle w:val="Heading1"/>
      </w:pPr>
      <w:r>
        <w:t xml:space="preserve">3. Business Structure and Operations</w:t>
      </w:r>
    </w:p>
    <w:p>
      <w:pPr>
        <w:pStyle w:val="FirstParagraph"/>
      </w:pPr>
      <w:r>
        <w:t xml:space="preserve">Holtfaction LLC operates as a Virginia limited liability company.</w:t>
      </w:r>
    </w:p>
    <w:p>
      <w:pPr>
        <w:pStyle w:val="BodyText"/>
      </w:pPr>
      <w:r>
        <w:t xml:space="preserve">The company has established the fundamental infrastructure necessary to operate as a professional entertainment business, including:</w:t>
      </w:r>
    </w:p>
    <w:p>
      <w:pPr>
        <w:pStyle w:val="Compact"/>
        <w:numPr>
          <w:ilvl w:val="0"/>
          <w:numId w:val="1002"/>
        </w:numPr>
      </w:pPr>
      <w:r>
        <w:t xml:space="preserve">Virginia LLC formation</w:t>
      </w:r>
    </w:p>
    <w:p>
      <w:pPr>
        <w:pStyle w:val="Compact"/>
        <w:numPr>
          <w:ilvl w:val="0"/>
          <w:numId w:val="1002"/>
        </w:numPr>
      </w:pPr>
      <w:r>
        <w:t xml:space="preserve">Federal Employer Identification Number</w:t>
      </w:r>
    </w:p>
    <w:p>
      <w:pPr>
        <w:pStyle w:val="Compact"/>
        <w:numPr>
          <w:ilvl w:val="0"/>
          <w:numId w:val="1002"/>
        </w:numPr>
      </w:pPr>
      <w:r>
        <w:t xml:space="preserve">Business banking</w:t>
      </w:r>
    </w:p>
    <w:p>
      <w:pPr>
        <w:pStyle w:val="Compact"/>
        <w:numPr>
          <w:ilvl w:val="0"/>
          <w:numId w:val="1002"/>
        </w:numPr>
      </w:pPr>
      <w:r>
        <w:t xml:space="preserve">Business insurance</w:t>
      </w:r>
    </w:p>
    <w:p>
      <w:pPr>
        <w:pStyle w:val="Compact"/>
        <w:numPr>
          <w:ilvl w:val="0"/>
          <w:numId w:val="1002"/>
        </w:numPr>
      </w:pPr>
      <w:r>
        <w:t xml:space="preserve">Professional website</w:t>
      </w:r>
    </w:p>
    <w:p>
      <w:pPr>
        <w:pStyle w:val="Compact"/>
        <w:numPr>
          <w:ilvl w:val="0"/>
          <w:numId w:val="1002"/>
        </w:numPr>
      </w:pPr>
      <w:r>
        <w:t xml:space="preserve">Electronic press kit</w:t>
      </w:r>
    </w:p>
    <w:p>
      <w:pPr>
        <w:pStyle w:val="Compact"/>
        <w:numPr>
          <w:ilvl w:val="0"/>
          <w:numId w:val="1002"/>
        </w:numPr>
      </w:pPr>
      <w:r>
        <w:t xml:space="preserve">Social-media presence</w:t>
      </w:r>
    </w:p>
    <w:p>
      <w:pPr>
        <w:pStyle w:val="Compact"/>
        <w:numPr>
          <w:ilvl w:val="0"/>
          <w:numId w:val="1002"/>
        </w:numPr>
      </w:pPr>
      <w:r>
        <w:t xml:space="preserve">Original recorded music</w:t>
      </w:r>
    </w:p>
    <w:p>
      <w:pPr>
        <w:pStyle w:val="Compact"/>
        <w:numPr>
          <w:ilvl w:val="0"/>
          <w:numId w:val="1002"/>
        </w:numPr>
      </w:pPr>
      <w:r>
        <w:t xml:space="preserve">Merchandise opportunities</w:t>
      </w:r>
    </w:p>
    <w:p>
      <w:pPr>
        <w:pStyle w:val="Compact"/>
        <w:numPr>
          <w:ilvl w:val="0"/>
          <w:numId w:val="1002"/>
        </w:numPr>
      </w:pPr>
      <w:r>
        <w:t xml:space="preserve">Live-performance history</w:t>
      </w:r>
    </w:p>
    <w:p>
      <w:pPr>
        <w:pStyle w:val="Compact"/>
        <w:numPr>
          <w:ilvl w:val="0"/>
          <w:numId w:val="1002"/>
        </w:numPr>
      </w:pPr>
      <w:r>
        <w:t xml:space="preserve">Venue and promoter outreach</w:t>
      </w:r>
    </w:p>
    <w:p>
      <w:pPr>
        <w:pStyle w:val="Compact"/>
        <w:numPr>
          <w:ilvl w:val="0"/>
          <w:numId w:val="1002"/>
        </w:numPr>
      </w:pPr>
      <w:r>
        <w:t xml:space="preserve">Regional touring strategy</w:t>
      </w:r>
    </w:p>
    <w:p>
      <w:pPr>
        <w:pStyle w:val="FirstParagraph"/>
      </w:pPr>
      <w:r>
        <w:t xml:space="preserve">Holtfaction maintains an active presence online and uses digital platforms as an important part of its marketing and customer-development strategy.</w:t>
      </w:r>
    </w:p>
    <w:p>
      <w:pPr>
        <w:pStyle w:val="BodyText"/>
      </w:pPr>
      <w:r>
        <w:t xml:space="preserve">The company’s website and electronic press kit provide venues, promoters, festivals, and potential business partners with access to information about the band, music, videos, and booking opportunities.</w:t>
      </w:r>
    </w:p>
    <w:p>
      <w:r>
        <w:pict>
          <v:rect style="width:0;height:1.5pt" o:hralign="center" o:hrstd="t" o:hr="t"/>
        </w:pict>
      </w:r>
    </w:p>
    <w:bookmarkEnd w:id="13"/>
    <w:bookmarkStart w:id="15" w:name="ownership-and-management"/>
    <w:p>
      <w:pPr>
        <w:pStyle w:val="Heading1"/>
      </w:pPr>
      <w:r>
        <w:t xml:space="preserve">4. Ownership and Management</w:t>
      </w:r>
    </w:p>
    <w:bookmarkStart w:id="14" w:name="evan-holt-owner-managing-member"/>
    <w:p>
      <w:pPr>
        <w:pStyle w:val="Heading2"/>
      </w:pPr>
      <w:r>
        <w:t xml:space="preserve">Evan Holt — Owner / Managing Member</w:t>
      </w:r>
    </w:p>
    <w:p>
      <w:pPr>
        <w:pStyle w:val="FirstParagraph"/>
      </w:pPr>
      <w:r>
        <w:t xml:space="preserve">Evan Holt is the founder and principal operator of Holtfaction LLC.</w:t>
      </w:r>
    </w:p>
    <w:p>
      <w:pPr>
        <w:pStyle w:val="BodyText"/>
      </w:pPr>
      <w:r>
        <w:t xml:space="preserve">He is responsible for the company’s business development, administration, marketing, booking, touring strategy, financial planning, and overall management.</w:t>
      </w:r>
    </w:p>
    <w:p>
      <w:pPr>
        <w:pStyle w:val="BodyText"/>
      </w:pPr>
      <w:r>
        <w:t xml:space="preserve">Primary responsibilities include:</w:t>
      </w:r>
    </w:p>
    <w:p>
      <w:pPr>
        <w:pStyle w:val="Compact"/>
        <w:numPr>
          <w:ilvl w:val="0"/>
          <w:numId w:val="1003"/>
        </w:numPr>
      </w:pPr>
      <w:r>
        <w:t xml:space="preserve">Business administration</w:t>
      </w:r>
    </w:p>
    <w:p>
      <w:pPr>
        <w:pStyle w:val="Compact"/>
        <w:numPr>
          <w:ilvl w:val="0"/>
          <w:numId w:val="1003"/>
        </w:numPr>
      </w:pPr>
      <w:r>
        <w:t xml:space="preserve">Venue and promoter communication</w:t>
      </w:r>
    </w:p>
    <w:p>
      <w:pPr>
        <w:pStyle w:val="Compact"/>
        <w:numPr>
          <w:ilvl w:val="0"/>
          <w:numId w:val="1003"/>
        </w:numPr>
      </w:pPr>
      <w:r>
        <w:t xml:space="preserve">Tour development</w:t>
      </w:r>
    </w:p>
    <w:p>
      <w:pPr>
        <w:pStyle w:val="Compact"/>
        <w:numPr>
          <w:ilvl w:val="0"/>
          <w:numId w:val="1003"/>
        </w:numPr>
      </w:pPr>
      <w:r>
        <w:t xml:space="preserve">Booking</w:t>
      </w:r>
    </w:p>
    <w:p>
      <w:pPr>
        <w:pStyle w:val="Compact"/>
        <w:numPr>
          <w:ilvl w:val="0"/>
          <w:numId w:val="1003"/>
        </w:numPr>
      </w:pPr>
      <w:r>
        <w:t xml:space="preserve">Marketing</w:t>
      </w:r>
    </w:p>
    <w:p>
      <w:pPr>
        <w:pStyle w:val="Compact"/>
        <w:numPr>
          <w:ilvl w:val="0"/>
          <w:numId w:val="1003"/>
        </w:numPr>
      </w:pPr>
      <w:r>
        <w:t xml:space="preserve">Advertising</w:t>
      </w:r>
    </w:p>
    <w:p>
      <w:pPr>
        <w:pStyle w:val="Compact"/>
        <w:numPr>
          <w:ilvl w:val="0"/>
          <w:numId w:val="1003"/>
        </w:numPr>
      </w:pPr>
      <w:r>
        <w:t xml:space="preserve">Social-media management</w:t>
      </w:r>
    </w:p>
    <w:p>
      <w:pPr>
        <w:pStyle w:val="Compact"/>
        <w:numPr>
          <w:ilvl w:val="0"/>
          <w:numId w:val="1003"/>
        </w:numPr>
      </w:pPr>
      <w:r>
        <w:t xml:space="preserve">Merchandise development</w:t>
      </w:r>
    </w:p>
    <w:p>
      <w:pPr>
        <w:pStyle w:val="Compact"/>
        <w:numPr>
          <w:ilvl w:val="0"/>
          <w:numId w:val="1003"/>
        </w:numPr>
      </w:pPr>
      <w:r>
        <w:t xml:space="preserve">Artist development</w:t>
      </w:r>
    </w:p>
    <w:p>
      <w:pPr>
        <w:pStyle w:val="Compact"/>
        <w:numPr>
          <w:ilvl w:val="0"/>
          <w:numId w:val="1003"/>
        </w:numPr>
      </w:pPr>
      <w:r>
        <w:t xml:space="preserve">Recording coordination</w:t>
      </w:r>
    </w:p>
    <w:p>
      <w:pPr>
        <w:pStyle w:val="Compact"/>
        <w:numPr>
          <w:ilvl w:val="0"/>
          <w:numId w:val="1003"/>
        </w:numPr>
      </w:pPr>
      <w:r>
        <w:t xml:space="preserve">Live-performance coordination</w:t>
      </w:r>
    </w:p>
    <w:p>
      <w:pPr>
        <w:pStyle w:val="Compact"/>
        <w:numPr>
          <w:ilvl w:val="0"/>
          <w:numId w:val="1003"/>
        </w:numPr>
      </w:pPr>
      <w:r>
        <w:t xml:space="preserve">Business partnerships</w:t>
      </w:r>
    </w:p>
    <w:p>
      <w:pPr>
        <w:pStyle w:val="Compact"/>
        <w:numPr>
          <w:ilvl w:val="0"/>
          <w:numId w:val="1003"/>
        </w:numPr>
      </w:pPr>
      <w:r>
        <w:t xml:space="preserve">Financial planning</w:t>
      </w:r>
    </w:p>
    <w:p>
      <w:pPr>
        <w:pStyle w:val="FirstParagraph"/>
      </w:pPr>
      <w:r>
        <w:t xml:space="preserve">Evan also has experience operating a professional service business, providing additional experience in customer service, scheduling, marketing, and small-business operations.</w:t>
      </w:r>
    </w:p>
    <w:p>
      <w:r>
        <w:pict>
          <v:rect style="width:0;height:1.5pt" o:hralign="center" o:hrstd="t" o:hr="t"/>
        </w:pict>
      </w:r>
    </w:p>
    <w:bookmarkEnd w:id="14"/>
    <w:bookmarkEnd w:id="15"/>
    <w:bookmarkStart w:id="16" w:name="current-business-position"/>
    <w:p>
      <w:pPr>
        <w:pStyle w:val="Heading1"/>
      </w:pPr>
      <w:r>
        <w:t xml:space="preserve">5. Current Business Position</w:t>
      </w:r>
    </w:p>
    <w:p>
      <w:pPr>
        <w:pStyle w:val="FirstParagraph"/>
      </w:pPr>
      <w:r>
        <w:t xml:space="preserve">Holtfaction has progressed from an independent music project into a formally organized business.</w:t>
      </w:r>
    </w:p>
    <w:p>
      <w:pPr>
        <w:pStyle w:val="BodyText"/>
      </w:pPr>
      <w:r>
        <w:t xml:space="preserve">The company has established:</w:t>
      </w:r>
    </w:p>
    <w:p>
      <w:pPr>
        <w:pStyle w:val="BodyText"/>
      </w:pPr>
      <w:r>
        <w:rPr>
          <w:b/>
          <w:bCs/>
        </w:rPr>
        <w:t xml:space="preserve">A professional brand</w:t>
      </w:r>
    </w:p>
    <w:p>
      <w:pPr>
        <w:pStyle w:val="BodyText"/>
      </w:pPr>
      <w:r>
        <w:t xml:space="preserve">Holtfaction has developed a distinct visual and musical identity within the alternative-rock and post-punk market.</w:t>
      </w:r>
    </w:p>
    <w:p>
      <w:pPr>
        <w:pStyle w:val="BodyText"/>
      </w:pPr>
      <w:r>
        <w:rPr>
          <w:b/>
          <w:bCs/>
        </w:rPr>
        <w:t xml:space="preserve">An existing audience</w:t>
      </w:r>
    </w:p>
    <w:p>
      <w:pPr>
        <w:pStyle w:val="BodyText"/>
      </w:pPr>
      <w:r>
        <w:t xml:space="preserve">The company currently maintains an established social-media audience, including approximately</w:t>
      </w:r>
      <w:r>
        <w:t xml:space="preserve"> </w:t>
      </w:r>
      <w:r>
        <w:rPr>
          <w:b/>
          <w:bCs/>
        </w:rPr>
        <w:t xml:space="preserve">1,500+ Instagram followers</w:t>
      </w:r>
      <w:r>
        <w:t xml:space="preserve">, in addition to listeners and followers across music and video platforms.</w:t>
      </w:r>
    </w:p>
    <w:p>
      <w:pPr>
        <w:pStyle w:val="BodyText"/>
      </w:pPr>
      <w:r>
        <w:rPr>
          <w:b/>
          <w:bCs/>
        </w:rPr>
        <w:t xml:space="preserve">Original music</w:t>
      </w:r>
    </w:p>
    <w:p>
      <w:pPr>
        <w:pStyle w:val="BodyText"/>
      </w:pPr>
      <w:r>
        <w:t xml:space="preserve">Holtfaction actively records and releases original material and intends to continue developing its catalog.</w:t>
      </w:r>
    </w:p>
    <w:p>
      <w:pPr>
        <w:pStyle w:val="BodyText"/>
      </w:pPr>
      <w:r>
        <w:rPr>
          <w:b/>
          <w:bCs/>
        </w:rPr>
        <w:t xml:space="preserve">Live-performance experience</w:t>
      </w:r>
    </w:p>
    <w:p>
      <w:pPr>
        <w:pStyle w:val="BodyText"/>
      </w:pPr>
      <w:r>
        <w:t xml:space="preserve">The company has performed live and is actively pursuing additional performances throughout the region.</w:t>
      </w:r>
    </w:p>
    <w:p>
      <w:pPr>
        <w:pStyle w:val="BodyText"/>
      </w:pPr>
      <w:r>
        <w:rPr>
          <w:b/>
          <w:bCs/>
        </w:rPr>
        <w:t xml:space="preserve">A professional booking strategy</w:t>
      </w:r>
    </w:p>
    <w:p>
      <w:pPr>
        <w:pStyle w:val="BodyText"/>
      </w:pPr>
      <w:r>
        <w:t xml:space="preserve">Holtfaction is building relationships with venues, promoters, festivals, managers, and other artists in preparation for expanded touring.</w:t>
      </w:r>
    </w:p>
    <w:p>
      <w:pPr>
        <w:pStyle w:val="BodyText"/>
      </w:pPr>
      <w:r>
        <w:rPr>
          <w:b/>
          <w:bCs/>
        </w:rPr>
        <w:t xml:space="preserve">A defined expansion plan</w:t>
      </w:r>
    </w:p>
    <w:p>
      <w:pPr>
        <w:pStyle w:val="BodyText"/>
      </w:pPr>
      <w:r>
        <w:t xml:space="preserve">The company is currently developing an extensive East Coast touring schedule for 2027.</w:t>
      </w:r>
    </w:p>
    <w:p>
      <w:r>
        <w:pict>
          <v:rect style="width:0;height:1.5pt" o:hralign="center" o:hrstd="t" o:hr="t"/>
        </w:pict>
      </w:r>
    </w:p>
    <w:bookmarkEnd w:id="16"/>
    <w:bookmarkStart w:id="19" w:name="business-opportunity"/>
    <w:p>
      <w:pPr>
        <w:pStyle w:val="Heading1"/>
      </w:pPr>
      <w:r>
        <w:t xml:space="preserve">6. Business Opportunity</w:t>
      </w:r>
    </w:p>
    <w:p>
      <w:pPr>
        <w:pStyle w:val="FirstParagraph"/>
      </w:pPr>
      <w:r>
        <w:t xml:space="preserve">The company’s primary growth opportunity is expansion from a local/regional performing act into a more established touring operation.</w:t>
      </w:r>
    </w:p>
    <w:p>
      <w:pPr>
        <w:pStyle w:val="BodyText"/>
      </w:pPr>
      <w:r>
        <w:t xml:space="preserve">Holtfaction’s current strategy is to focus on venues and events appropriate for an independent alternative-rock act capable of attracting approximately</w:t>
      </w:r>
      <w:r>
        <w:t xml:space="preserve"> </w:t>
      </w:r>
      <w:r>
        <w:rPr>
          <w:b/>
          <w:bCs/>
        </w:rPr>
        <w:t xml:space="preserve">100 people</w:t>
      </w:r>
      <w:r>
        <w:t xml:space="preserve">, while also pursuing opening and support opportunities for larger touring artists.</w:t>
      </w:r>
    </w:p>
    <w:p>
      <w:pPr>
        <w:pStyle w:val="BodyText"/>
      </w:pPr>
      <w:r>
        <w:t xml:space="preserve">This creates two complementary business opportunities.</w:t>
      </w:r>
    </w:p>
    <w:bookmarkStart w:id="17" w:name="headline-performances"/>
    <w:p>
      <w:pPr>
        <w:pStyle w:val="Heading3"/>
      </w:pPr>
      <w:r>
        <w:t xml:space="preserve">Headline Performances</w:t>
      </w:r>
    </w:p>
    <w:p>
      <w:pPr>
        <w:pStyle w:val="FirstParagraph"/>
      </w:pPr>
      <w:r>
        <w:t xml:space="preserve">Holtfaction can generate performance revenue by headlining smaller clubs, bars, theaters, independent venues, and regional events.</w:t>
      </w:r>
    </w:p>
    <w:bookmarkEnd w:id="17"/>
    <w:bookmarkStart w:id="18" w:name="support-performances"/>
    <w:p>
      <w:pPr>
        <w:pStyle w:val="Heading3"/>
      </w:pPr>
      <w:r>
        <w:t xml:space="preserve">Support Performances</w:t>
      </w:r>
    </w:p>
    <w:p>
      <w:pPr>
        <w:pStyle w:val="FirstParagraph"/>
      </w:pPr>
      <w:r>
        <w:t xml:space="preserve">Holtfaction can also perform as an opening or supporting act for established artists.</w:t>
      </w:r>
    </w:p>
    <w:p>
      <w:pPr>
        <w:pStyle w:val="BodyText"/>
      </w:pPr>
      <w:r>
        <w:t xml:space="preserve">Support performances provide the company with access to larger audiences and can generate future bookings and audience growth.</w:t>
      </w:r>
    </w:p>
    <w:p>
      <w:pPr>
        <w:pStyle w:val="BodyText"/>
      </w:pPr>
      <w:r>
        <w:t xml:space="preserve">The company intends to use both strategies simultaneously.</w:t>
      </w:r>
    </w:p>
    <w:p>
      <w:r>
        <w:pict>
          <v:rect style="width:0;height:1.5pt" o:hralign="center" o:hrstd="t" o:hr="t"/>
        </w:pict>
      </w:r>
    </w:p>
    <w:bookmarkEnd w:id="18"/>
    <w:bookmarkEnd w:id="19"/>
    <w:bookmarkStart w:id="20" w:name="east-coast-touring-expansion"/>
    <w:p>
      <w:pPr>
        <w:pStyle w:val="Heading1"/>
      </w:pPr>
      <w:r>
        <w:t xml:space="preserve">7. 2027 East Coast Touring Expansion</w:t>
      </w:r>
    </w:p>
    <w:p>
      <w:pPr>
        <w:pStyle w:val="FirstParagraph"/>
      </w:pPr>
      <w:r>
        <w:t xml:space="preserve">Holtfaction is developing an approximately</w:t>
      </w:r>
      <w:r>
        <w:t xml:space="preserve"> </w:t>
      </w:r>
      <w:r>
        <w:rPr>
          <w:b/>
          <w:bCs/>
        </w:rPr>
        <w:t xml:space="preserve">three-month East Coast touring campaign from April through June 2027</w:t>
      </w:r>
      <w:r>
        <w:t xml:space="preserve">.</w:t>
      </w:r>
    </w:p>
    <w:p>
      <w:pPr>
        <w:pStyle w:val="BodyText"/>
      </w:pPr>
      <w:r>
        <w:t xml:space="preserve">The tour will focus on developing an efficient geographic route rather than booking isolated performances.</w:t>
      </w:r>
    </w:p>
    <w:p>
      <w:pPr>
        <w:pStyle w:val="BodyText"/>
      </w:pPr>
      <w:r>
        <w:t xml:space="preserve">Potential markets include:</w:t>
      </w:r>
    </w:p>
    <w:p>
      <w:pPr>
        <w:pStyle w:val="Compact"/>
        <w:numPr>
          <w:ilvl w:val="0"/>
          <w:numId w:val="1004"/>
        </w:numPr>
      </w:pPr>
      <w:r>
        <w:t xml:space="preserve">Florida</w:t>
      </w:r>
    </w:p>
    <w:p>
      <w:pPr>
        <w:pStyle w:val="Compact"/>
        <w:numPr>
          <w:ilvl w:val="0"/>
          <w:numId w:val="1004"/>
        </w:numPr>
      </w:pPr>
      <w:r>
        <w:t xml:space="preserve">Georgia</w:t>
      </w:r>
    </w:p>
    <w:p>
      <w:pPr>
        <w:pStyle w:val="Compact"/>
        <w:numPr>
          <w:ilvl w:val="0"/>
          <w:numId w:val="1004"/>
        </w:numPr>
      </w:pPr>
      <w:r>
        <w:t xml:space="preserve">South Carolina</w:t>
      </w:r>
    </w:p>
    <w:p>
      <w:pPr>
        <w:pStyle w:val="Compact"/>
        <w:numPr>
          <w:ilvl w:val="0"/>
          <w:numId w:val="1004"/>
        </w:numPr>
      </w:pPr>
      <w:r>
        <w:t xml:space="preserve">North Carolina</w:t>
      </w:r>
    </w:p>
    <w:p>
      <w:pPr>
        <w:pStyle w:val="Compact"/>
        <w:numPr>
          <w:ilvl w:val="0"/>
          <w:numId w:val="1004"/>
        </w:numPr>
      </w:pPr>
      <w:r>
        <w:t xml:space="preserve">Virginia</w:t>
      </w:r>
    </w:p>
    <w:p>
      <w:pPr>
        <w:pStyle w:val="Compact"/>
        <w:numPr>
          <w:ilvl w:val="0"/>
          <w:numId w:val="1004"/>
        </w:numPr>
      </w:pPr>
      <w:r>
        <w:t xml:space="preserve">Washington, D.C.</w:t>
      </w:r>
    </w:p>
    <w:p>
      <w:pPr>
        <w:pStyle w:val="Compact"/>
        <w:numPr>
          <w:ilvl w:val="0"/>
          <w:numId w:val="1004"/>
        </w:numPr>
      </w:pPr>
      <w:r>
        <w:t xml:space="preserve">Maryland</w:t>
      </w:r>
    </w:p>
    <w:p>
      <w:pPr>
        <w:pStyle w:val="Compact"/>
        <w:numPr>
          <w:ilvl w:val="0"/>
          <w:numId w:val="1004"/>
        </w:numPr>
      </w:pPr>
      <w:r>
        <w:t xml:space="preserve">Delaware</w:t>
      </w:r>
    </w:p>
    <w:p>
      <w:pPr>
        <w:pStyle w:val="Compact"/>
        <w:numPr>
          <w:ilvl w:val="0"/>
          <w:numId w:val="1004"/>
        </w:numPr>
      </w:pPr>
      <w:r>
        <w:t xml:space="preserve">Pennsylvania</w:t>
      </w:r>
    </w:p>
    <w:p>
      <w:pPr>
        <w:pStyle w:val="Compact"/>
        <w:numPr>
          <w:ilvl w:val="0"/>
          <w:numId w:val="1004"/>
        </w:numPr>
      </w:pPr>
      <w:r>
        <w:t xml:space="preserve">New Jersey</w:t>
      </w:r>
    </w:p>
    <w:p>
      <w:pPr>
        <w:pStyle w:val="Compact"/>
        <w:numPr>
          <w:ilvl w:val="0"/>
          <w:numId w:val="1004"/>
        </w:numPr>
      </w:pPr>
      <w:r>
        <w:t xml:space="preserve">New York</w:t>
      </w:r>
    </w:p>
    <w:p>
      <w:pPr>
        <w:pStyle w:val="Compact"/>
        <w:numPr>
          <w:ilvl w:val="0"/>
          <w:numId w:val="1004"/>
        </w:numPr>
      </w:pPr>
      <w:r>
        <w:t xml:space="preserve">Rhode Island</w:t>
      </w:r>
    </w:p>
    <w:p>
      <w:pPr>
        <w:pStyle w:val="Compact"/>
        <w:numPr>
          <w:ilvl w:val="0"/>
          <w:numId w:val="1004"/>
        </w:numPr>
      </w:pPr>
      <w:r>
        <w:t xml:space="preserve">Other New England markets</w:t>
      </w:r>
    </w:p>
    <w:p>
      <w:pPr>
        <w:pStyle w:val="FirstParagraph"/>
      </w:pPr>
      <w:r>
        <w:t xml:space="preserve">The company will pursue:</w:t>
      </w:r>
    </w:p>
    <w:p>
      <w:pPr>
        <w:pStyle w:val="Compact"/>
        <w:numPr>
          <w:ilvl w:val="0"/>
          <w:numId w:val="1005"/>
        </w:numPr>
      </w:pPr>
      <w:r>
        <w:t xml:space="preserve">Headline performances</w:t>
      </w:r>
    </w:p>
    <w:p>
      <w:pPr>
        <w:pStyle w:val="Compact"/>
        <w:numPr>
          <w:ilvl w:val="0"/>
          <w:numId w:val="1005"/>
        </w:numPr>
      </w:pPr>
      <w:r>
        <w:t xml:space="preserve">Opening slots</w:t>
      </w:r>
    </w:p>
    <w:p>
      <w:pPr>
        <w:pStyle w:val="Compact"/>
        <w:numPr>
          <w:ilvl w:val="0"/>
          <w:numId w:val="1005"/>
        </w:numPr>
      </w:pPr>
      <w:r>
        <w:t xml:space="preserve">Support performances</w:t>
      </w:r>
    </w:p>
    <w:p>
      <w:pPr>
        <w:pStyle w:val="Compact"/>
        <w:numPr>
          <w:ilvl w:val="0"/>
          <w:numId w:val="1005"/>
        </w:numPr>
      </w:pPr>
      <w:r>
        <w:t xml:space="preserve">Regional festivals</w:t>
      </w:r>
    </w:p>
    <w:p>
      <w:pPr>
        <w:pStyle w:val="Compact"/>
        <w:numPr>
          <w:ilvl w:val="0"/>
          <w:numId w:val="1005"/>
        </w:numPr>
      </w:pPr>
      <w:r>
        <w:t xml:space="preserve">Independent music festivals</w:t>
      </w:r>
    </w:p>
    <w:p>
      <w:pPr>
        <w:pStyle w:val="Compact"/>
        <w:numPr>
          <w:ilvl w:val="0"/>
          <w:numId w:val="1005"/>
        </w:numPr>
      </w:pPr>
      <w:r>
        <w:t xml:space="preserve">Club performances</w:t>
      </w:r>
    </w:p>
    <w:p>
      <w:pPr>
        <w:pStyle w:val="Compact"/>
        <w:numPr>
          <w:ilvl w:val="0"/>
          <w:numId w:val="1005"/>
        </w:numPr>
      </w:pPr>
      <w:r>
        <w:t xml:space="preserve">Bar and entertainment venues</w:t>
      </w:r>
    </w:p>
    <w:p>
      <w:pPr>
        <w:pStyle w:val="Compact"/>
        <w:numPr>
          <w:ilvl w:val="0"/>
          <w:numId w:val="1005"/>
        </w:numPr>
      </w:pPr>
      <w:r>
        <w:t xml:space="preserve">College-radio-related promotional opportunities</w:t>
      </w:r>
    </w:p>
    <w:p>
      <w:pPr>
        <w:pStyle w:val="Compact"/>
        <w:numPr>
          <w:ilvl w:val="0"/>
          <w:numId w:val="1005"/>
        </w:numPr>
      </w:pPr>
      <w:r>
        <w:t xml:space="preserve">Artist showcases</w:t>
      </w:r>
    </w:p>
    <w:p>
      <w:pPr>
        <w:pStyle w:val="Compact"/>
        <w:numPr>
          <w:ilvl w:val="0"/>
          <w:numId w:val="1005"/>
        </w:numPr>
      </w:pPr>
      <w:r>
        <w:t xml:space="preserve">Special events</w:t>
      </w:r>
    </w:p>
    <w:p>
      <w:pPr>
        <w:pStyle w:val="FirstParagraph"/>
      </w:pPr>
      <w:r>
        <w:t xml:space="preserve">The geographic approach is intended to increase the number of performances while reducing unnecessary transportation costs.</w:t>
      </w:r>
    </w:p>
    <w:p>
      <w:r>
        <w:pict>
          <v:rect style="width:0;height:1.5pt" o:hralign="center" o:hrstd="t" o:hr="t"/>
        </w:pict>
      </w:r>
    </w:p>
    <w:bookmarkEnd w:id="20"/>
    <w:bookmarkStart w:id="21" w:name="financing-request"/>
    <w:p>
      <w:pPr>
        <w:pStyle w:val="Heading1"/>
      </w:pPr>
      <w:r>
        <w:t xml:space="preserve">8. Financing Request</w:t>
      </w:r>
    </w:p>
    <w:p>
      <w:pPr>
        <w:pStyle w:val="FirstParagraph"/>
      </w:pPr>
      <w:r>
        <w:t xml:space="preserve">Holtfaction LLC respectfully requests a</w:t>
      </w:r>
      <w:r>
        <w:t xml:space="preserve"> </w:t>
      </w:r>
      <w:r>
        <w:rPr>
          <w:b/>
          <w:bCs/>
        </w:rPr>
        <w:t xml:space="preserve">$150,000 business loan</w:t>
      </w:r>
      <w:r>
        <w:t xml:space="preserve">.</w:t>
      </w:r>
    </w:p>
    <w:p>
      <w:pPr>
        <w:pStyle w:val="BodyText"/>
      </w:pPr>
      <w:r>
        <w:t xml:space="preserve">The financing will provide the company with the capital required to acquire a dedicated touring transportation asset and establish sufficient working capital for the company’s planned expansion.</w:t>
      </w:r>
    </w:p>
    <w:p>
      <w:pPr>
        <w:pStyle w:val="BodyText"/>
      </w:pPr>
      <w:r>
        <w:t xml:space="preserve">The proposed allocation is:</w:t>
      </w:r>
    </w:p>
    <w:tbl>
      <w:tblPr>
        <w:tblStyle w:val="Table"/>
        <w:tblW w:type="pct" w:w="5000"/>
        <w:tblLayout w:type="fixed"/>
        <w:tblLook w:firstRow="1" w:lastRow="0" w:firstColumn="0" w:lastColumn="0" w:noHBand="0" w:noVBand="0" w:val="0020"/>
      </w:tblPr>
      <w:tblGrid>
        <w:gridCol w:w="3394"/>
        <w:gridCol w:w="4525"/>
      </w:tblGrid>
      <w:tr>
        <w:trPr>
          <w:tblHeader w:val="on"/>
        </w:trPr>
        <w:tc>
          <w:tcPr/>
          <w:p>
            <w:pPr>
              <w:pStyle w:val="Compact"/>
            </w:pPr>
            <w:r>
              <w:t xml:space="preserve">Use of Funds</w:t>
            </w:r>
          </w:p>
        </w:tc>
        <w:tc>
          <w:tcPr/>
          <w:p>
            <w:pPr>
              <w:pStyle w:val="Compact"/>
              <w:jc w:val="right"/>
            </w:pPr>
            <w:r>
              <w:t xml:space="preserve">Amount</w:t>
            </w:r>
          </w:p>
        </w:tc>
      </w:tr>
      <w:tr>
        <w:tc>
          <w:tcPr/>
          <w:p>
            <w:pPr>
              <w:pStyle w:val="Compact"/>
            </w:pPr>
            <w:r>
              <w:rPr>
                <w:b/>
                <w:bCs/>
              </w:rPr>
              <w:t xml:space="preserve">Touring RV / transportation vehicle and related infrastructure</w:t>
            </w:r>
          </w:p>
        </w:tc>
        <w:tc>
          <w:tcPr/>
          <w:p>
            <w:pPr>
              <w:pStyle w:val="Compact"/>
              <w:jc w:val="right"/>
            </w:pPr>
            <w:r>
              <w:rPr>
                <w:b/>
                <w:bCs/>
              </w:rPr>
              <w:t xml:space="preserve">$100,000</w:t>
            </w:r>
          </w:p>
        </w:tc>
      </w:tr>
      <w:tr>
        <w:tc>
          <w:tcPr/>
          <w:p>
            <w:pPr>
              <w:pStyle w:val="Compact"/>
            </w:pPr>
            <w:r>
              <w:t xml:space="preserve">Recording and music production</w:t>
            </w:r>
          </w:p>
        </w:tc>
        <w:tc>
          <w:tcPr/>
          <w:p>
            <w:pPr>
              <w:pStyle w:val="Compact"/>
              <w:jc w:val="right"/>
            </w:pPr>
            <w:r>
              <w:t xml:space="preserve">$5,000</w:t>
            </w:r>
          </w:p>
        </w:tc>
      </w:tr>
      <w:tr>
        <w:tc>
          <w:tcPr/>
          <w:p>
            <w:pPr>
              <w:pStyle w:val="Compact"/>
            </w:pPr>
            <w:r>
              <w:t xml:space="preserve">Musical and production equipment</w:t>
            </w:r>
          </w:p>
        </w:tc>
        <w:tc>
          <w:tcPr/>
          <w:p>
            <w:pPr>
              <w:pStyle w:val="Compact"/>
              <w:jc w:val="right"/>
            </w:pPr>
            <w:r>
              <w:t xml:space="preserve">$5,000</w:t>
            </w:r>
          </w:p>
        </w:tc>
      </w:tr>
      <w:tr>
        <w:tc>
          <w:tcPr/>
          <w:p>
            <w:pPr>
              <w:pStyle w:val="Compact"/>
            </w:pPr>
            <w:r>
              <w:t xml:space="preserve">Merchandise inventory</w:t>
            </w:r>
          </w:p>
        </w:tc>
        <w:tc>
          <w:tcPr/>
          <w:p>
            <w:pPr>
              <w:pStyle w:val="Compact"/>
              <w:jc w:val="right"/>
            </w:pPr>
            <w:r>
              <w:t xml:space="preserve">$5,000</w:t>
            </w:r>
          </w:p>
        </w:tc>
      </w:tr>
      <w:tr>
        <w:tc>
          <w:tcPr/>
          <w:p>
            <w:pPr>
              <w:pStyle w:val="Compact"/>
            </w:pPr>
            <w:r>
              <w:t xml:space="preserve">Marketing and advertising</w:t>
            </w:r>
          </w:p>
        </w:tc>
        <w:tc>
          <w:tcPr/>
          <w:p>
            <w:pPr>
              <w:pStyle w:val="Compact"/>
              <w:jc w:val="right"/>
            </w:pPr>
            <w:r>
              <w:t xml:space="preserve">$5,000</w:t>
            </w:r>
          </w:p>
        </w:tc>
      </w:tr>
      <w:tr>
        <w:tc>
          <w:tcPr/>
          <w:p>
            <w:pPr>
              <w:pStyle w:val="Compact"/>
            </w:pPr>
            <w:r>
              <w:t xml:space="preserve">Fuel and travel expenses</w:t>
            </w:r>
          </w:p>
        </w:tc>
        <w:tc>
          <w:tcPr/>
          <w:p>
            <w:pPr>
              <w:pStyle w:val="Compact"/>
              <w:jc w:val="right"/>
            </w:pPr>
            <w:r>
              <w:t xml:space="preserve">$5,000</w:t>
            </w:r>
          </w:p>
        </w:tc>
      </w:tr>
      <w:tr>
        <w:tc>
          <w:tcPr/>
          <w:p>
            <w:pPr>
              <w:pStyle w:val="Compact"/>
            </w:pPr>
            <w:r>
              <w:t xml:space="preserve">Working capital reserve</w:t>
            </w:r>
          </w:p>
        </w:tc>
        <w:tc>
          <w:tcPr/>
          <w:p>
            <w:pPr>
              <w:pStyle w:val="Compact"/>
              <w:jc w:val="right"/>
            </w:pPr>
            <w:r>
              <w:t xml:space="preserve">$25,000</w:t>
            </w:r>
          </w:p>
        </w:tc>
      </w:tr>
      <w:tr>
        <w:tc>
          <w:tcPr/>
          <w:p>
            <w:pPr>
              <w:pStyle w:val="Compact"/>
            </w:pPr>
            <w:r>
              <w:rPr>
                <w:b/>
                <w:bCs/>
              </w:rPr>
              <w:t xml:space="preserve">TOTAL LOAN REQUEST</w:t>
            </w:r>
          </w:p>
        </w:tc>
        <w:tc>
          <w:tcPr/>
          <w:p>
            <w:pPr>
              <w:pStyle w:val="Compact"/>
              <w:jc w:val="right"/>
            </w:pPr>
            <w:r>
              <w:rPr>
                <w:b/>
                <w:bCs/>
              </w:rPr>
              <w:t xml:space="preserve">$150,000</w:t>
            </w:r>
          </w:p>
        </w:tc>
      </w:tr>
    </w:tbl>
    <w:p>
      <w:r>
        <w:pict>
          <v:rect style="width:0;height:1.5pt" o:hralign="center" o:hrstd="t" o:hr="t"/>
        </w:pict>
      </w:r>
    </w:p>
    <w:bookmarkEnd w:id="21"/>
    <w:bookmarkStart w:id="23" w:name="touring-rv-transportation-investment"/>
    <w:p>
      <w:pPr>
        <w:pStyle w:val="Heading1"/>
      </w:pPr>
      <w:r>
        <w:t xml:space="preserve">9. Touring RV / Transportation Investment</w:t>
      </w:r>
    </w:p>
    <w:bookmarkStart w:id="22" w:name="requested-investment-100000"/>
    <w:p>
      <w:pPr>
        <w:pStyle w:val="Heading2"/>
      </w:pPr>
      <w:r>
        <w:t xml:space="preserve">Requested Investment: $100,000</w:t>
      </w:r>
    </w:p>
    <w:p>
      <w:pPr>
        <w:pStyle w:val="FirstParagraph"/>
      </w:pPr>
      <w:r>
        <w:t xml:space="preserve">The largest portion of the requested financing will be dedicated to the acquisition of a suitable</w:t>
      </w:r>
      <w:r>
        <w:t xml:space="preserve"> </w:t>
      </w:r>
      <w:r>
        <w:rPr>
          <w:b/>
          <w:bCs/>
        </w:rPr>
        <w:t xml:space="preserve">touring RV/transportation vehicle and related transportation infrastructure</w:t>
      </w:r>
      <w:r>
        <w:t xml:space="preserve">.</w:t>
      </w:r>
    </w:p>
    <w:p>
      <w:pPr>
        <w:pStyle w:val="BodyText"/>
      </w:pPr>
      <w:r>
        <w:t xml:space="preserve">This vehicle will function as a long-term business asset for Holtfaction LLC.</w:t>
      </w:r>
    </w:p>
    <w:p>
      <w:pPr>
        <w:pStyle w:val="BodyText"/>
      </w:pPr>
      <w:r>
        <w:t xml:space="preserve">A dedicated touring vehicle is important to the company’s expansion because the planned 2027 touring operation will require transportation for extended periods throughout the Eastern United States.</w:t>
      </w:r>
    </w:p>
    <w:p>
      <w:pPr>
        <w:pStyle w:val="BodyText"/>
      </w:pPr>
      <w:r>
        <w:t xml:space="preserve">The vehicle is expected to provide the following business advantages:</w:t>
      </w:r>
    </w:p>
    <w:p>
      <w:pPr>
        <w:pStyle w:val="Compact"/>
        <w:numPr>
          <w:ilvl w:val="0"/>
          <w:numId w:val="1006"/>
        </w:numPr>
      </w:pPr>
      <w:r>
        <w:t xml:space="preserve">Reliable transportation between performance markets</w:t>
      </w:r>
    </w:p>
    <w:p>
      <w:pPr>
        <w:pStyle w:val="Compact"/>
        <w:numPr>
          <w:ilvl w:val="0"/>
          <w:numId w:val="1006"/>
        </w:numPr>
      </w:pPr>
      <w:r>
        <w:t xml:space="preserve">Transportation for touring personnel</w:t>
      </w:r>
    </w:p>
    <w:p>
      <w:pPr>
        <w:pStyle w:val="Compact"/>
        <w:numPr>
          <w:ilvl w:val="0"/>
          <w:numId w:val="1006"/>
        </w:numPr>
      </w:pPr>
      <w:r>
        <w:t xml:space="preserve">Transportation and storage of equipment and merchandise</w:t>
      </w:r>
    </w:p>
    <w:p>
      <w:pPr>
        <w:pStyle w:val="Compact"/>
        <w:numPr>
          <w:ilvl w:val="0"/>
          <w:numId w:val="1006"/>
        </w:numPr>
      </w:pPr>
      <w:r>
        <w:t xml:space="preserve">Reduced dependence on short-term vehicle rentals</w:t>
      </w:r>
    </w:p>
    <w:p>
      <w:pPr>
        <w:pStyle w:val="Compact"/>
        <w:numPr>
          <w:ilvl w:val="0"/>
          <w:numId w:val="1006"/>
        </w:numPr>
      </w:pPr>
      <w:r>
        <w:t xml:space="preserve">Reduced lodging expenses during extended tours</w:t>
      </w:r>
    </w:p>
    <w:p>
      <w:pPr>
        <w:pStyle w:val="Compact"/>
        <w:numPr>
          <w:ilvl w:val="0"/>
          <w:numId w:val="1006"/>
        </w:numPr>
      </w:pPr>
      <w:r>
        <w:t xml:space="preserve">Greater flexibility in booking performances</w:t>
      </w:r>
    </w:p>
    <w:p>
      <w:pPr>
        <w:pStyle w:val="Compact"/>
        <w:numPr>
          <w:ilvl w:val="0"/>
          <w:numId w:val="1006"/>
        </w:numPr>
      </w:pPr>
      <w:r>
        <w:t xml:space="preserve">Ability to schedule multi-day and multi-week tours</w:t>
      </w:r>
    </w:p>
    <w:p>
      <w:pPr>
        <w:pStyle w:val="Compact"/>
        <w:numPr>
          <w:ilvl w:val="0"/>
          <w:numId w:val="1006"/>
        </w:numPr>
      </w:pPr>
      <w:r>
        <w:t xml:space="preserve">Improved geographic efficiency</w:t>
      </w:r>
    </w:p>
    <w:p>
      <w:pPr>
        <w:pStyle w:val="Compact"/>
        <w:numPr>
          <w:ilvl w:val="0"/>
          <w:numId w:val="1006"/>
        </w:numPr>
      </w:pPr>
      <w:r>
        <w:t xml:space="preserve">Increased ability to accept opportunities outside Virginia</w:t>
      </w:r>
    </w:p>
    <w:p>
      <w:pPr>
        <w:pStyle w:val="Compact"/>
        <w:numPr>
          <w:ilvl w:val="0"/>
          <w:numId w:val="1006"/>
        </w:numPr>
      </w:pPr>
      <w:r>
        <w:t xml:space="preserve">Creation of a long-term business asset</w:t>
      </w:r>
    </w:p>
    <w:p>
      <w:pPr>
        <w:pStyle w:val="FirstParagraph"/>
      </w:pPr>
      <w:r>
        <w:t xml:space="preserve">The vehicle will primarily support Holtfaction’s business activities, including touring, performances, promotional appearances, equipment transportation, merchandise transportation, and related business travel.</w:t>
      </w:r>
    </w:p>
    <w:p>
      <w:pPr>
        <w:pStyle w:val="BodyText"/>
      </w:pPr>
      <w:r>
        <w:t xml:space="preserve">The investment is intended to reduce recurring transportation and lodging expenses while increasing the company’s ability to generate revenue through additional performances.</w:t>
      </w:r>
    </w:p>
    <w:p>
      <w:r>
        <w:pict>
          <v:rect style="width:0;height:1.5pt" o:hralign="center" o:hrstd="t" o:hr="t"/>
        </w:pict>
      </w:r>
    </w:p>
    <w:bookmarkEnd w:id="22"/>
    <w:bookmarkEnd w:id="23"/>
    <w:bookmarkStart w:id="25" w:name="recording-and-music-production"/>
    <w:p>
      <w:pPr>
        <w:pStyle w:val="Heading1"/>
      </w:pPr>
      <w:r>
        <w:t xml:space="preserve">10. Recording and Music Production</w:t>
      </w:r>
    </w:p>
    <w:bookmarkStart w:id="24" w:name="allocation-5000"/>
    <w:p>
      <w:pPr>
        <w:pStyle w:val="Heading2"/>
      </w:pPr>
      <w:r>
        <w:t xml:space="preserve">Allocation: $5,000</w:t>
      </w:r>
    </w:p>
    <w:p>
      <w:pPr>
        <w:pStyle w:val="FirstParagraph"/>
      </w:pPr>
      <w:r>
        <w:t xml:space="preserve">Holtfaction will allocate funds toward the continued creation and professional production of original music.</w:t>
      </w:r>
    </w:p>
    <w:p>
      <w:pPr>
        <w:pStyle w:val="BodyText"/>
      </w:pPr>
      <w:r>
        <w:t xml:space="preserve">Expenses may include:</w:t>
      </w:r>
    </w:p>
    <w:p>
      <w:pPr>
        <w:pStyle w:val="Compact"/>
        <w:numPr>
          <w:ilvl w:val="0"/>
          <w:numId w:val="1007"/>
        </w:numPr>
      </w:pPr>
      <w:r>
        <w:t xml:space="preserve">Studio recording</w:t>
      </w:r>
    </w:p>
    <w:p>
      <w:pPr>
        <w:pStyle w:val="Compact"/>
        <w:numPr>
          <w:ilvl w:val="0"/>
          <w:numId w:val="1007"/>
        </w:numPr>
      </w:pPr>
      <w:r>
        <w:t xml:space="preserve">Mixing</w:t>
      </w:r>
    </w:p>
    <w:p>
      <w:pPr>
        <w:pStyle w:val="Compact"/>
        <w:numPr>
          <w:ilvl w:val="0"/>
          <w:numId w:val="1007"/>
        </w:numPr>
      </w:pPr>
      <w:r>
        <w:t xml:space="preserve">Mastering</w:t>
      </w:r>
    </w:p>
    <w:p>
      <w:pPr>
        <w:pStyle w:val="Compact"/>
        <w:numPr>
          <w:ilvl w:val="0"/>
          <w:numId w:val="1007"/>
        </w:numPr>
      </w:pPr>
      <w:r>
        <w:t xml:space="preserve">Production</w:t>
      </w:r>
    </w:p>
    <w:p>
      <w:pPr>
        <w:pStyle w:val="Compact"/>
        <w:numPr>
          <w:ilvl w:val="0"/>
          <w:numId w:val="1007"/>
        </w:numPr>
      </w:pPr>
      <w:r>
        <w:t xml:space="preserve">Engineering</w:t>
      </w:r>
    </w:p>
    <w:p>
      <w:pPr>
        <w:pStyle w:val="Compact"/>
        <w:numPr>
          <w:ilvl w:val="0"/>
          <w:numId w:val="1007"/>
        </w:numPr>
      </w:pPr>
      <w:r>
        <w:t xml:space="preserve">Music-video production</w:t>
      </w:r>
    </w:p>
    <w:p>
      <w:pPr>
        <w:pStyle w:val="Compact"/>
        <w:numPr>
          <w:ilvl w:val="0"/>
          <w:numId w:val="1007"/>
        </w:numPr>
      </w:pPr>
      <w:r>
        <w:t xml:space="preserve">Digital distribution</w:t>
      </w:r>
    </w:p>
    <w:p>
      <w:pPr>
        <w:pStyle w:val="Compact"/>
        <w:numPr>
          <w:ilvl w:val="0"/>
          <w:numId w:val="1007"/>
        </w:numPr>
      </w:pPr>
      <w:r>
        <w:t xml:space="preserve">Promotional materials</w:t>
      </w:r>
    </w:p>
    <w:p>
      <w:pPr>
        <w:pStyle w:val="FirstParagraph"/>
      </w:pPr>
      <w:r>
        <w:t xml:space="preserve">Continued release of original music is an important part of the company’s audience-development and marketing strategy.</w:t>
      </w:r>
    </w:p>
    <w:p>
      <w:r>
        <w:pict>
          <v:rect style="width:0;height:1.5pt" o:hralign="center" o:hrstd="t" o:hr="t"/>
        </w:pict>
      </w:r>
    </w:p>
    <w:bookmarkEnd w:id="24"/>
    <w:bookmarkEnd w:id="25"/>
    <w:bookmarkStart w:id="27" w:name="musical-and-production-equipment"/>
    <w:p>
      <w:pPr>
        <w:pStyle w:val="Heading1"/>
      </w:pPr>
      <w:r>
        <w:t xml:space="preserve">11. Musical and Production Equipment</w:t>
      </w:r>
    </w:p>
    <w:bookmarkStart w:id="26" w:name="allocation-5000-1"/>
    <w:p>
      <w:pPr>
        <w:pStyle w:val="Heading2"/>
      </w:pPr>
      <w:r>
        <w:t xml:space="preserve">Allocation: $5,000</w:t>
      </w:r>
    </w:p>
    <w:p>
      <w:pPr>
        <w:pStyle w:val="FirstParagraph"/>
      </w:pPr>
      <w:r>
        <w:t xml:space="preserve">Funds will be used to purchase, upgrade, maintain, or replace musical and production equipment necessary for professional performances and touring.</w:t>
      </w:r>
    </w:p>
    <w:p>
      <w:pPr>
        <w:pStyle w:val="BodyText"/>
      </w:pPr>
      <w:r>
        <w:t xml:space="preserve">This may include:</w:t>
      </w:r>
    </w:p>
    <w:p>
      <w:pPr>
        <w:pStyle w:val="Compact"/>
        <w:numPr>
          <w:ilvl w:val="0"/>
          <w:numId w:val="1008"/>
        </w:numPr>
      </w:pPr>
      <w:r>
        <w:t xml:space="preserve">Musical equipment</w:t>
      </w:r>
    </w:p>
    <w:p>
      <w:pPr>
        <w:pStyle w:val="Compact"/>
        <w:numPr>
          <w:ilvl w:val="0"/>
          <w:numId w:val="1008"/>
        </w:numPr>
      </w:pPr>
      <w:r>
        <w:t xml:space="preserve">Amplification</w:t>
      </w:r>
    </w:p>
    <w:p>
      <w:pPr>
        <w:pStyle w:val="Compact"/>
        <w:numPr>
          <w:ilvl w:val="0"/>
          <w:numId w:val="1008"/>
        </w:numPr>
      </w:pPr>
      <w:r>
        <w:t xml:space="preserve">Cables and accessories</w:t>
      </w:r>
    </w:p>
    <w:p>
      <w:pPr>
        <w:pStyle w:val="Compact"/>
        <w:numPr>
          <w:ilvl w:val="0"/>
          <w:numId w:val="1008"/>
        </w:numPr>
      </w:pPr>
      <w:r>
        <w:t xml:space="preserve">Live-production equipment</w:t>
      </w:r>
    </w:p>
    <w:p>
      <w:pPr>
        <w:pStyle w:val="Compact"/>
        <w:numPr>
          <w:ilvl w:val="0"/>
          <w:numId w:val="1008"/>
        </w:numPr>
      </w:pPr>
      <w:r>
        <w:t xml:space="preserve">Recording equipment</w:t>
      </w:r>
    </w:p>
    <w:p>
      <w:pPr>
        <w:pStyle w:val="Compact"/>
        <w:numPr>
          <w:ilvl w:val="0"/>
          <w:numId w:val="1008"/>
        </w:numPr>
      </w:pPr>
      <w:r>
        <w:t xml:space="preserve">Equipment cases</w:t>
      </w:r>
    </w:p>
    <w:p>
      <w:pPr>
        <w:pStyle w:val="Compact"/>
        <w:numPr>
          <w:ilvl w:val="0"/>
          <w:numId w:val="1008"/>
        </w:numPr>
      </w:pPr>
      <w:r>
        <w:t xml:space="preserve">Touring equipment</w:t>
      </w:r>
    </w:p>
    <w:p>
      <w:pPr>
        <w:pStyle w:val="FirstParagraph"/>
      </w:pPr>
      <w:r>
        <w:t xml:space="preserve">Reliable equipment is essential to maintaining professional performance standards while traveling.</w:t>
      </w:r>
    </w:p>
    <w:p>
      <w:r>
        <w:pict>
          <v:rect style="width:0;height:1.5pt" o:hralign="center" o:hrstd="t" o:hr="t"/>
        </w:pict>
      </w:r>
    </w:p>
    <w:bookmarkEnd w:id="26"/>
    <w:bookmarkEnd w:id="27"/>
    <w:bookmarkStart w:id="29" w:name="merchandise-inventory"/>
    <w:p>
      <w:pPr>
        <w:pStyle w:val="Heading1"/>
      </w:pPr>
      <w:r>
        <w:t xml:space="preserve">12. Merchandise Inventory</w:t>
      </w:r>
    </w:p>
    <w:bookmarkStart w:id="28" w:name="allocation-5000-2"/>
    <w:p>
      <w:pPr>
        <w:pStyle w:val="Heading2"/>
      </w:pPr>
      <w:r>
        <w:t xml:space="preserve">Allocation: $5,000</w:t>
      </w:r>
    </w:p>
    <w:p>
      <w:pPr>
        <w:pStyle w:val="FirstParagraph"/>
      </w:pPr>
      <w:r>
        <w:t xml:space="preserve">Holtfaction intends to expand its merchandise operation as touring increases.</w:t>
      </w:r>
    </w:p>
    <w:p>
      <w:pPr>
        <w:pStyle w:val="BodyText"/>
      </w:pPr>
      <w:r>
        <w:t xml:space="preserve">Potential merchandise includes:</w:t>
      </w:r>
    </w:p>
    <w:p>
      <w:pPr>
        <w:pStyle w:val="Compact"/>
        <w:numPr>
          <w:ilvl w:val="0"/>
          <w:numId w:val="1009"/>
        </w:numPr>
      </w:pPr>
      <w:r>
        <w:t xml:space="preserve">T-shirts</w:t>
      </w:r>
    </w:p>
    <w:p>
      <w:pPr>
        <w:pStyle w:val="Compact"/>
        <w:numPr>
          <w:ilvl w:val="0"/>
          <w:numId w:val="1009"/>
        </w:numPr>
      </w:pPr>
      <w:r>
        <w:t xml:space="preserve">Logo apparel</w:t>
      </w:r>
    </w:p>
    <w:p>
      <w:pPr>
        <w:pStyle w:val="Compact"/>
        <w:numPr>
          <w:ilvl w:val="0"/>
          <w:numId w:val="1009"/>
        </w:numPr>
      </w:pPr>
      <w:r>
        <w:t xml:space="preserve">Posters</w:t>
      </w:r>
    </w:p>
    <w:p>
      <w:pPr>
        <w:pStyle w:val="Compact"/>
        <w:numPr>
          <w:ilvl w:val="0"/>
          <w:numId w:val="1009"/>
        </w:numPr>
      </w:pPr>
      <w:r>
        <w:t xml:space="preserve">Physical music</w:t>
      </w:r>
    </w:p>
    <w:p>
      <w:pPr>
        <w:pStyle w:val="Compact"/>
        <w:numPr>
          <w:ilvl w:val="0"/>
          <w:numId w:val="1009"/>
        </w:numPr>
      </w:pPr>
      <w:r>
        <w:t xml:space="preserve">Limited-edition items</w:t>
      </w:r>
    </w:p>
    <w:p>
      <w:pPr>
        <w:pStyle w:val="Compact"/>
        <w:numPr>
          <w:ilvl w:val="0"/>
          <w:numId w:val="1009"/>
        </w:numPr>
      </w:pPr>
      <w:r>
        <w:t xml:space="preserve">Tour merchandise</w:t>
      </w:r>
    </w:p>
    <w:p>
      <w:pPr>
        <w:pStyle w:val="Compact"/>
        <w:numPr>
          <w:ilvl w:val="0"/>
          <w:numId w:val="1009"/>
        </w:numPr>
      </w:pPr>
      <w:r>
        <w:t xml:space="preserve">Other branded products</w:t>
      </w:r>
    </w:p>
    <w:p>
      <w:pPr>
        <w:pStyle w:val="FirstParagraph"/>
      </w:pPr>
      <w:r>
        <w:t xml:space="preserve">Merchandise provides an additional revenue stream at live performances and through online sales.</w:t>
      </w:r>
    </w:p>
    <w:p>
      <w:pPr>
        <w:pStyle w:val="BodyText"/>
      </w:pPr>
      <w:r>
        <w:t xml:space="preserve">It also functions as a marketing tool by increasing brand exposure after each performance.</w:t>
      </w:r>
    </w:p>
    <w:p>
      <w:r>
        <w:pict>
          <v:rect style="width:0;height:1.5pt" o:hralign="center" o:hrstd="t" o:hr="t"/>
        </w:pict>
      </w:r>
    </w:p>
    <w:bookmarkEnd w:id="28"/>
    <w:bookmarkEnd w:id="29"/>
    <w:bookmarkStart w:id="31" w:name="marketing-and-advertising"/>
    <w:p>
      <w:pPr>
        <w:pStyle w:val="Heading1"/>
      </w:pPr>
      <w:r>
        <w:t xml:space="preserve">13. Marketing and Advertising</w:t>
      </w:r>
    </w:p>
    <w:bookmarkStart w:id="30" w:name="allocation-5000-3"/>
    <w:p>
      <w:pPr>
        <w:pStyle w:val="Heading2"/>
      </w:pPr>
      <w:r>
        <w:t xml:space="preserve">Allocation: $5,000</w:t>
      </w:r>
    </w:p>
    <w:p>
      <w:pPr>
        <w:pStyle w:val="FirstParagraph"/>
      </w:pPr>
      <w:r>
        <w:t xml:space="preserve">Marketing funds will be used to increase awareness of Holtfaction’s music, performances, merchandise, and touring activities.</w:t>
      </w:r>
    </w:p>
    <w:p>
      <w:pPr>
        <w:pStyle w:val="BodyText"/>
      </w:pPr>
      <w:r>
        <w:t xml:space="preserve">Potential expenses include:</w:t>
      </w:r>
    </w:p>
    <w:p>
      <w:pPr>
        <w:pStyle w:val="Compact"/>
        <w:numPr>
          <w:ilvl w:val="0"/>
          <w:numId w:val="1010"/>
        </w:numPr>
      </w:pPr>
      <w:r>
        <w:t xml:space="preserve">Social-media advertising</w:t>
      </w:r>
    </w:p>
    <w:p>
      <w:pPr>
        <w:pStyle w:val="Compact"/>
        <w:numPr>
          <w:ilvl w:val="0"/>
          <w:numId w:val="1010"/>
        </w:numPr>
      </w:pPr>
      <w:r>
        <w:t xml:space="preserve">Digital advertising</w:t>
      </w:r>
    </w:p>
    <w:p>
      <w:pPr>
        <w:pStyle w:val="Compact"/>
        <w:numPr>
          <w:ilvl w:val="0"/>
          <w:numId w:val="1010"/>
        </w:numPr>
      </w:pPr>
      <w:r>
        <w:t xml:space="preserve">Promotional materials</w:t>
      </w:r>
    </w:p>
    <w:p>
      <w:pPr>
        <w:pStyle w:val="Compact"/>
        <w:numPr>
          <w:ilvl w:val="0"/>
          <w:numId w:val="1010"/>
        </w:numPr>
      </w:pPr>
      <w:r>
        <w:t xml:space="preserve">Music-release campaigns</w:t>
      </w:r>
    </w:p>
    <w:p>
      <w:pPr>
        <w:pStyle w:val="Compact"/>
        <w:numPr>
          <w:ilvl w:val="0"/>
          <w:numId w:val="1010"/>
        </w:numPr>
      </w:pPr>
      <w:r>
        <w:t xml:space="preserve">Tour advertising</w:t>
      </w:r>
    </w:p>
    <w:p>
      <w:pPr>
        <w:pStyle w:val="Compact"/>
        <w:numPr>
          <w:ilvl w:val="0"/>
          <w:numId w:val="1010"/>
        </w:numPr>
      </w:pPr>
      <w:r>
        <w:t xml:space="preserve">Venue promotion</w:t>
      </w:r>
    </w:p>
    <w:p>
      <w:pPr>
        <w:pStyle w:val="Compact"/>
        <w:numPr>
          <w:ilvl w:val="0"/>
          <w:numId w:val="1010"/>
        </w:numPr>
      </w:pPr>
      <w:r>
        <w:t xml:space="preserve">Public relations</w:t>
      </w:r>
    </w:p>
    <w:p>
      <w:pPr>
        <w:pStyle w:val="Compact"/>
        <w:numPr>
          <w:ilvl w:val="0"/>
          <w:numId w:val="1010"/>
        </w:numPr>
      </w:pPr>
      <w:r>
        <w:t xml:space="preserve">Photography</w:t>
      </w:r>
    </w:p>
    <w:p>
      <w:pPr>
        <w:pStyle w:val="Compact"/>
        <w:numPr>
          <w:ilvl w:val="0"/>
          <w:numId w:val="1010"/>
        </w:numPr>
      </w:pPr>
      <w:r>
        <w:t xml:space="preserve">Video promotion</w:t>
      </w:r>
    </w:p>
    <w:p>
      <w:pPr>
        <w:pStyle w:val="Compact"/>
        <w:numPr>
          <w:ilvl w:val="0"/>
          <w:numId w:val="1010"/>
        </w:numPr>
      </w:pPr>
      <w:r>
        <w:t xml:space="preserve">Website and digital marketing</w:t>
      </w:r>
    </w:p>
    <w:p>
      <w:pPr>
        <w:pStyle w:val="FirstParagraph"/>
      </w:pPr>
      <w:r>
        <w:t xml:space="preserve">The company’s existing online audience provides a foundation upon which paid advertising and promotional campaigns can be built.</w:t>
      </w:r>
    </w:p>
    <w:p>
      <w:r>
        <w:pict>
          <v:rect style="width:0;height:1.5pt" o:hralign="center" o:hrstd="t" o:hr="t"/>
        </w:pict>
      </w:r>
    </w:p>
    <w:bookmarkEnd w:id="30"/>
    <w:bookmarkEnd w:id="31"/>
    <w:bookmarkStart w:id="33" w:name="fuel-and-travel-expenses"/>
    <w:p>
      <w:pPr>
        <w:pStyle w:val="Heading1"/>
      </w:pPr>
      <w:r>
        <w:t xml:space="preserve">14. Fuel and Travel Expenses</w:t>
      </w:r>
    </w:p>
    <w:bookmarkStart w:id="32" w:name="allocation-5000-4"/>
    <w:p>
      <w:pPr>
        <w:pStyle w:val="Heading2"/>
      </w:pPr>
      <w:r>
        <w:t xml:space="preserve">Allocation: $5,000</w:t>
      </w:r>
    </w:p>
    <w:p>
      <w:pPr>
        <w:pStyle w:val="FirstParagraph"/>
      </w:pPr>
      <w:r>
        <w:t xml:space="preserve">Initial funds will be allocated toward fuel, tolls, parking, and other transportation expenses associated with the company’s touring activities.</w:t>
      </w:r>
    </w:p>
    <w:p>
      <w:pPr>
        <w:pStyle w:val="BodyText"/>
      </w:pPr>
      <w:r>
        <w:t xml:space="preserve">The dedicated touring vehicle is expected to make these expenses more predictable and reduce the company’s dependence on rental transportation.</w:t>
      </w:r>
    </w:p>
    <w:p>
      <w:r>
        <w:pict>
          <v:rect style="width:0;height:1.5pt" o:hralign="center" o:hrstd="t" o:hr="t"/>
        </w:pict>
      </w:r>
    </w:p>
    <w:bookmarkEnd w:id="32"/>
    <w:bookmarkEnd w:id="33"/>
    <w:bookmarkStart w:id="35" w:name="working-capital-reserve"/>
    <w:p>
      <w:pPr>
        <w:pStyle w:val="Heading1"/>
      </w:pPr>
      <w:r>
        <w:t xml:space="preserve">15. Working Capital Reserve</w:t>
      </w:r>
    </w:p>
    <w:bookmarkStart w:id="34" w:name="allocation-25000"/>
    <w:p>
      <w:pPr>
        <w:pStyle w:val="Heading2"/>
      </w:pPr>
      <w:r>
        <w:t xml:space="preserve">Allocation: $25,000</w:t>
      </w:r>
    </w:p>
    <w:p>
      <w:pPr>
        <w:pStyle w:val="FirstParagraph"/>
      </w:pPr>
      <w:r>
        <w:t xml:space="preserve">Holtfaction will maintain</w:t>
      </w:r>
      <w:r>
        <w:t xml:space="preserve"> </w:t>
      </w:r>
      <w:r>
        <w:rPr>
          <w:b/>
          <w:bCs/>
        </w:rPr>
        <w:t xml:space="preserve">$25,000 in working capital</w:t>
      </w:r>
      <w:r>
        <w:t xml:space="preserve"> </w:t>
      </w:r>
      <w:r>
        <w:t xml:space="preserve">to provide financial stability during its expansion period.</w:t>
      </w:r>
    </w:p>
    <w:p>
      <w:pPr>
        <w:pStyle w:val="BodyText"/>
      </w:pPr>
      <w:r>
        <w:t xml:space="preserve">The reserve may be used for legitimate business expenses such as:</w:t>
      </w:r>
    </w:p>
    <w:p>
      <w:pPr>
        <w:pStyle w:val="Compact"/>
        <w:numPr>
          <w:ilvl w:val="0"/>
          <w:numId w:val="1011"/>
        </w:numPr>
      </w:pPr>
      <w:r>
        <w:t xml:space="preserve">Insurance</w:t>
      </w:r>
    </w:p>
    <w:p>
      <w:pPr>
        <w:pStyle w:val="Compact"/>
        <w:numPr>
          <w:ilvl w:val="0"/>
          <w:numId w:val="1011"/>
        </w:numPr>
      </w:pPr>
      <w:r>
        <w:t xml:space="preserve">Vehicle maintenance</w:t>
      </w:r>
    </w:p>
    <w:p>
      <w:pPr>
        <w:pStyle w:val="Compact"/>
        <w:numPr>
          <w:ilvl w:val="0"/>
          <w:numId w:val="1011"/>
        </w:numPr>
      </w:pPr>
      <w:r>
        <w:t xml:space="preserve">Repairs</w:t>
      </w:r>
    </w:p>
    <w:p>
      <w:pPr>
        <w:pStyle w:val="Compact"/>
        <w:numPr>
          <w:ilvl w:val="0"/>
          <w:numId w:val="1011"/>
        </w:numPr>
      </w:pPr>
      <w:r>
        <w:t xml:space="preserve">Lodging</w:t>
      </w:r>
    </w:p>
    <w:p>
      <w:pPr>
        <w:pStyle w:val="Compact"/>
        <w:numPr>
          <w:ilvl w:val="0"/>
          <w:numId w:val="1011"/>
        </w:numPr>
      </w:pPr>
      <w:r>
        <w:t xml:space="preserve">Booking expenses</w:t>
      </w:r>
    </w:p>
    <w:p>
      <w:pPr>
        <w:pStyle w:val="Compact"/>
        <w:numPr>
          <w:ilvl w:val="0"/>
          <w:numId w:val="1011"/>
        </w:numPr>
      </w:pPr>
      <w:r>
        <w:t xml:space="preserve">Unexpected travel expenses</w:t>
      </w:r>
    </w:p>
    <w:p>
      <w:pPr>
        <w:pStyle w:val="Compact"/>
        <w:numPr>
          <w:ilvl w:val="0"/>
          <w:numId w:val="1011"/>
        </w:numPr>
      </w:pPr>
      <w:r>
        <w:t xml:space="preserve">Business fees</w:t>
      </w:r>
    </w:p>
    <w:p>
      <w:pPr>
        <w:pStyle w:val="Compact"/>
        <w:numPr>
          <w:ilvl w:val="0"/>
          <w:numId w:val="1011"/>
        </w:numPr>
      </w:pPr>
      <w:r>
        <w:t xml:space="preserve">Operating expenses</w:t>
      </w:r>
    </w:p>
    <w:p>
      <w:pPr>
        <w:pStyle w:val="Compact"/>
        <w:numPr>
          <w:ilvl w:val="0"/>
          <w:numId w:val="1011"/>
        </w:numPr>
      </w:pPr>
      <w:r>
        <w:t xml:space="preserve">Equipment repairs</w:t>
      </w:r>
    </w:p>
    <w:p>
      <w:pPr>
        <w:pStyle w:val="Compact"/>
        <w:numPr>
          <w:ilvl w:val="0"/>
          <w:numId w:val="1011"/>
        </w:numPr>
      </w:pPr>
      <w:r>
        <w:t xml:space="preserve">Tour-related emergencies</w:t>
      </w:r>
    </w:p>
    <w:p>
      <w:pPr>
        <w:pStyle w:val="FirstParagraph"/>
      </w:pPr>
      <w:r>
        <w:t xml:space="preserve">Maintaining a working-capital reserve will allow the company to continue operating while awaiting performance payments and other business revenue.</w:t>
      </w:r>
    </w:p>
    <w:p>
      <w:r>
        <w:pict>
          <v:rect style="width:0;height:1.5pt" o:hralign="center" o:hrstd="t" o:hr="t"/>
        </w:pict>
      </w:r>
    </w:p>
    <w:bookmarkEnd w:id="34"/>
    <w:bookmarkEnd w:id="35"/>
    <w:bookmarkStart w:id="41" w:name="revenue-model"/>
    <w:p>
      <w:pPr>
        <w:pStyle w:val="Heading1"/>
      </w:pPr>
      <w:r>
        <w:t xml:space="preserve">16. Revenue Model</w:t>
      </w:r>
    </w:p>
    <w:p>
      <w:pPr>
        <w:pStyle w:val="FirstParagraph"/>
      </w:pPr>
      <w:r>
        <w:t xml:space="preserve">Holtfaction’s revenue model consists of multiple complementary sources.</w:t>
      </w:r>
    </w:p>
    <w:bookmarkStart w:id="36" w:name="live-performance-revenue"/>
    <w:p>
      <w:pPr>
        <w:pStyle w:val="Heading2"/>
      </w:pPr>
      <w:r>
        <w:t xml:space="preserve">Live Performance Revenue</w:t>
      </w:r>
    </w:p>
    <w:p>
      <w:pPr>
        <w:pStyle w:val="FirstParagraph"/>
      </w:pPr>
      <w:r>
        <w:t xml:space="preserve">Paid performances will remain the company’s primary revenue source.</w:t>
      </w:r>
    </w:p>
    <w:p>
      <w:pPr>
        <w:pStyle w:val="BodyText"/>
      </w:pPr>
      <w:r>
        <w:t xml:space="preserve">The company intends to perform at clubs, theaters, festivals, bars, independent venues, private events, and other entertainment locations.</w:t>
      </w:r>
    </w:p>
    <w:bookmarkEnd w:id="36"/>
    <w:bookmarkStart w:id="37" w:name="merchandise-revenue"/>
    <w:p>
      <w:pPr>
        <w:pStyle w:val="Heading2"/>
      </w:pPr>
      <w:r>
        <w:t xml:space="preserve">Merchandise Revenue</w:t>
      </w:r>
    </w:p>
    <w:p>
      <w:pPr>
        <w:pStyle w:val="FirstParagraph"/>
      </w:pPr>
      <w:r>
        <w:t xml:space="preserve">Merchandise will generate additional revenue at performances and through online sales.</w:t>
      </w:r>
    </w:p>
    <w:bookmarkEnd w:id="37"/>
    <w:bookmarkStart w:id="38" w:name="recorded-music"/>
    <w:p>
      <w:pPr>
        <w:pStyle w:val="Heading2"/>
      </w:pPr>
      <w:r>
        <w:t xml:space="preserve">Recorded Music</w:t>
      </w:r>
    </w:p>
    <w:p>
      <w:pPr>
        <w:pStyle w:val="FirstParagraph"/>
      </w:pPr>
      <w:r>
        <w:t xml:space="preserve">Original music creates potential revenue through digital distribution, streaming, physical sales, licensing, and other opportunities.</w:t>
      </w:r>
    </w:p>
    <w:bookmarkEnd w:id="38"/>
    <w:bookmarkStart w:id="39" w:name="opening-and-support-performances"/>
    <w:p>
      <w:pPr>
        <w:pStyle w:val="Heading2"/>
      </w:pPr>
      <w:r>
        <w:t xml:space="preserve">Opening and Support Performances</w:t>
      </w:r>
    </w:p>
    <w:p>
      <w:pPr>
        <w:pStyle w:val="FirstParagraph"/>
      </w:pPr>
      <w:r>
        <w:t xml:space="preserve">Supporting established touring artists provides opportunities to reach larger audiences and develop relationships within the music industry.</w:t>
      </w:r>
    </w:p>
    <w:bookmarkEnd w:id="39"/>
    <w:bookmarkStart w:id="40" w:name="festivals-and-events"/>
    <w:p>
      <w:pPr>
        <w:pStyle w:val="Heading2"/>
      </w:pPr>
      <w:r>
        <w:t xml:space="preserve">Festivals and Events</w:t>
      </w:r>
    </w:p>
    <w:p>
      <w:pPr>
        <w:pStyle w:val="FirstParagraph"/>
      </w:pPr>
      <w:r>
        <w:t xml:space="preserve">Holtfaction will pursue festivals and special events that match the company’s musical style and target audience.</w:t>
      </w:r>
    </w:p>
    <w:p>
      <w:r>
        <w:pict>
          <v:rect style="width:0;height:1.5pt" o:hralign="center" o:hrstd="t" o:hr="t"/>
        </w:pict>
      </w:r>
    </w:p>
    <w:bookmarkEnd w:id="40"/>
    <w:bookmarkEnd w:id="41"/>
    <w:bookmarkStart w:id="42" w:name="marketing-strategy"/>
    <w:p>
      <w:pPr>
        <w:pStyle w:val="Heading1"/>
      </w:pPr>
      <w:r>
        <w:t xml:space="preserve">17. Marketing Strategy</w:t>
      </w:r>
    </w:p>
    <w:p>
      <w:pPr>
        <w:pStyle w:val="FirstParagraph"/>
      </w:pPr>
      <w:r>
        <w:t xml:space="preserve">Holtfaction will use a combination of digital and traditional marketing methods.</w:t>
      </w:r>
    </w:p>
    <w:p>
      <w:pPr>
        <w:pStyle w:val="BodyText"/>
      </w:pPr>
      <w:r>
        <w:t xml:space="preserve">Primary channels include:</w:t>
      </w:r>
    </w:p>
    <w:p>
      <w:pPr>
        <w:pStyle w:val="Compact"/>
        <w:numPr>
          <w:ilvl w:val="0"/>
          <w:numId w:val="1012"/>
        </w:numPr>
      </w:pPr>
      <w:r>
        <w:t xml:space="preserve">Instagram</w:t>
      </w:r>
    </w:p>
    <w:p>
      <w:pPr>
        <w:pStyle w:val="Compact"/>
        <w:numPr>
          <w:ilvl w:val="0"/>
          <w:numId w:val="1012"/>
        </w:numPr>
      </w:pPr>
      <w:r>
        <w:t xml:space="preserve">Social-media advertising</w:t>
      </w:r>
    </w:p>
    <w:p>
      <w:pPr>
        <w:pStyle w:val="Compact"/>
        <w:numPr>
          <w:ilvl w:val="0"/>
          <w:numId w:val="1012"/>
        </w:numPr>
      </w:pPr>
      <w:r>
        <w:t xml:space="preserve">Music-streaming platforms</w:t>
      </w:r>
    </w:p>
    <w:p>
      <w:pPr>
        <w:pStyle w:val="Compact"/>
        <w:numPr>
          <w:ilvl w:val="0"/>
          <w:numId w:val="1012"/>
        </w:numPr>
      </w:pPr>
      <w:r>
        <w:t xml:space="preserve">YouTube and video content</w:t>
      </w:r>
    </w:p>
    <w:p>
      <w:pPr>
        <w:pStyle w:val="Compact"/>
        <w:numPr>
          <w:ilvl w:val="0"/>
          <w:numId w:val="1012"/>
        </w:numPr>
      </w:pPr>
      <w:r>
        <w:t xml:space="preserve">Website traffic</w:t>
      </w:r>
    </w:p>
    <w:p>
      <w:pPr>
        <w:pStyle w:val="Compact"/>
        <w:numPr>
          <w:ilvl w:val="0"/>
          <w:numId w:val="1012"/>
        </w:numPr>
      </w:pPr>
      <w:r>
        <w:t xml:space="preserve">Electronic press kit distribution</w:t>
      </w:r>
    </w:p>
    <w:p>
      <w:pPr>
        <w:pStyle w:val="Compact"/>
        <w:numPr>
          <w:ilvl w:val="0"/>
          <w:numId w:val="1012"/>
        </w:numPr>
      </w:pPr>
      <w:r>
        <w:t xml:space="preserve">College-radio promotion</w:t>
      </w:r>
    </w:p>
    <w:p>
      <w:pPr>
        <w:pStyle w:val="Compact"/>
        <w:numPr>
          <w:ilvl w:val="0"/>
          <w:numId w:val="1012"/>
        </w:numPr>
      </w:pPr>
      <w:r>
        <w:t xml:space="preserve">Venue partnerships</w:t>
      </w:r>
    </w:p>
    <w:p>
      <w:pPr>
        <w:pStyle w:val="Compact"/>
        <w:numPr>
          <w:ilvl w:val="0"/>
          <w:numId w:val="1012"/>
        </w:numPr>
      </w:pPr>
      <w:r>
        <w:t xml:space="preserve">Local-band partnerships</w:t>
      </w:r>
    </w:p>
    <w:p>
      <w:pPr>
        <w:pStyle w:val="Compact"/>
        <w:numPr>
          <w:ilvl w:val="0"/>
          <w:numId w:val="1012"/>
        </w:numPr>
      </w:pPr>
      <w:r>
        <w:t xml:space="preserve">Festival submissions</w:t>
      </w:r>
    </w:p>
    <w:p>
      <w:pPr>
        <w:pStyle w:val="Compact"/>
        <w:numPr>
          <w:ilvl w:val="0"/>
          <w:numId w:val="1012"/>
        </w:numPr>
      </w:pPr>
      <w:r>
        <w:t xml:space="preserve">Email outreach</w:t>
      </w:r>
    </w:p>
    <w:p>
      <w:pPr>
        <w:pStyle w:val="Compact"/>
        <w:numPr>
          <w:ilvl w:val="0"/>
          <w:numId w:val="1012"/>
        </w:numPr>
      </w:pPr>
      <w:r>
        <w:t xml:space="preserve">Merchandise</w:t>
      </w:r>
    </w:p>
    <w:p>
      <w:pPr>
        <w:pStyle w:val="Compact"/>
        <w:numPr>
          <w:ilvl w:val="0"/>
          <w:numId w:val="1012"/>
        </w:numPr>
      </w:pPr>
      <w:r>
        <w:t xml:space="preserve">Live-performance promotion</w:t>
      </w:r>
    </w:p>
    <w:p>
      <w:pPr>
        <w:pStyle w:val="FirstParagraph"/>
      </w:pPr>
      <w:r>
        <w:t xml:space="preserve">An important component of the company’s strategy is partnering with local bands in each market.</w:t>
      </w:r>
    </w:p>
    <w:p>
      <w:pPr>
        <w:pStyle w:val="BodyText"/>
      </w:pPr>
      <w:r>
        <w:t xml:space="preserve">Local support acts can help increase attendance while giving Holtfaction access to established local audiences.</w:t>
      </w:r>
    </w:p>
    <w:p>
      <w:r>
        <w:pict>
          <v:rect style="width:0;height:1.5pt" o:hralign="center" o:hrstd="t" o:hr="t"/>
        </w:pict>
      </w:r>
    </w:p>
    <w:bookmarkEnd w:id="42"/>
    <w:bookmarkStart w:id="50" w:name="competitive-advantages"/>
    <w:p>
      <w:pPr>
        <w:pStyle w:val="Heading1"/>
      </w:pPr>
      <w:r>
        <w:t xml:space="preserve">18. Competitive Advantages</w:t>
      </w:r>
    </w:p>
    <w:p>
      <w:pPr>
        <w:pStyle w:val="FirstParagraph"/>
      </w:pPr>
      <w:r>
        <w:t xml:space="preserve">Holtfaction’s primary competitive advantages include:</w:t>
      </w:r>
    </w:p>
    <w:bookmarkStart w:id="43" w:name="distinct-brand"/>
    <w:p>
      <w:pPr>
        <w:pStyle w:val="Heading3"/>
      </w:pPr>
      <w:r>
        <w:t xml:space="preserve">Distinct Brand</w:t>
      </w:r>
    </w:p>
    <w:p>
      <w:pPr>
        <w:pStyle w:val="FirstParagraph"/>
      </w:pPr>
      <w:r>
        <w:t xml:space="preserve">The company has developed a recognizable alternative-rock/post-punk identity.</w:t>
      </w:r>
    </w:p>
    <w:bookmarkEnd w:id="43"/>
    <w:bookmarkStart w:id="44" w:name="existing-audience"/>
    <w:p>
      <w:pPr>
        <w:pStyle w:val="Heading3"/>
      </w:pPr>
      <w:r>
        <w:t xml:space="preserve">Existing Audience</w:t>
      </w:r>
    </w:p>
    <w:p>
      <w:pPr>
        <w:pStyle w:val="FirstParagraph"/>
      </w:pPr>
      <w:r>
        <w:t xml:space="preserve">Holtfaction already has an established social-media following and developing audience.</w:t>
      </w:r>
    </w:p>
    <w:bookmarkEnd w:id="44"/>
    <w:bookmarkStart w:id="45" w:name="professional-business-structure"/>
    <w:p>
      <w:pPr>
        <w:pStyle w:val="Heading3"/>
      </w:pPr>
      <w:r>
        <w:t xml:space="preserve">Professional Business Structure</w:t>
      </w:r>
    </w:p>
    <w:p>
      <w:pPr>
        <w:pStyle w:val="FirstParagraph"/>
      </w:pPr>
      <w:r>
        <w:t xml:space="preserve">The company operates through a formal LLC with business insurance and an EIN.</w:t>
      </w:r>
    </w:p>
    <w:bookmarkEnd w:id="45"/>
    <w:bookmarkStart w:id="46" w:name="touring-strategy"/>
    <w:p>
      <w:pPr>
        <w:pStyle w:val="Heading3"/>
      </w:pPr>
      <w:r>
        <w:t xml:space="preserve">Touring Strategy</w:t>
      </w:r>
    </w:p>
    <w:p>
      <w:pPr>
        <w:pStyle w:val="FirstParagraph"/>
      </w:pPr>
      <w:r>
        <w:t xml:space="preserve">The company is developing geographically efficient touring routes.</w:t>
      </w:r>
    </w:p>
    <w:bookmarkEnd w:id="46"/>
    <w:bookmarkStart w:id="47" w:name="multiple-revenue-sources"/>
    <w:p>
      <w:pPr>
        <w:pStyle w:val="Heading3"/>
      </w:pPr>
      <w:r>
        <w:t xml:space="preserve">Multiple Revenue Sources</w:t>
      </w:r>
    </w:p>
    <w:p>
      <w:pPr>
        <w:pStyle w:val="FirstParagraph"/>
      </w:pPr>
      <w:r>
        <w:t xml:space="preserve">Holtfaction can generate income from performances, merchandise, recorded music, streaming, and other entertainment opportunities.</w:t>
      </w:r>
    </w:p>
    <w:bookmarkEnd w:id="47"/>
    <w:bookmarkStart w:id="48" w:name="appropriate-venue-size"/>
    <w:p>
      <w:pPr>
        <w:pStyle w:val="Heading3"/>
      </w:pPr>
      <w:r>
        <w:t xml:space="preserve">Appropriate Venue Size</w:t>
      </w:r>
    </w:p>
    <w:p>
      <w:pPr>
        <w:pStyle w:val="FirstParagraph"/>
      </w:pPr>
      <w:r>
        <w:t xml:space="preserve">An estimated 100-person draw allows Holtfaction to target a broad range of independent venues while continuing to pursue opportunities at larger events.</w:t>
      </w:r>
    </w:p>
    <w:bookmarkEnd w:id="48"/>
    <w:bookmarkStart w:id="49" w:name="scalability"/>
    <w:p>
      <w:pPr>
        <w:pStyle w:val="Heading3"/>
      </w:pPr>
      <w:r>
        <w:t xml:space="preserve">Scalability</w:t>
      </w:r>
    </w:p>
    <w:p>
      <w:pPr>
        <w:pStyle w:val="FirstParagraph"/>
      </w:pPr>
      <w:r>
        <w:t xml:space="preserve">As audience size and performance history increase, Holtfaction can pursue larger venues, festivals, higher-paying performances, and national touring opportunities.</w:t>
      </w:r>
    </w:p>
    <w:p>
      <w:r>
        <w:pict>
          <v:rect style="width:0;height:1.5pt" o:hralign="center" o:hrstd="t" o:hr="t"/>
        </w:pict>
      </w:r>
    </w:p>
    <w:bookmarkEnd w:id="49"/>
    <w:bookmarkEnd w:id="50"/>
    <w:bookmarkStart w:id="54" w:name="growth-plan"/>
    <w:p>
      <w:pPr>
        <w:pStyle w:val="Heading1"/>
      </w:pPr>
      <w:r>
        <w:t xml:space="preserve">19. Growth Plan</w:t>
      </w:r>
    </w:p>
    <w:bookmarkStart w:id="51" w:name="business-development"/>
    <w:p>
      <w:pPr>
        <w:pStyle w:val="Heading2"/>
      </w:pPr>
      <w:r>
        <w:t xml:space="preserve">2026 — Business Development</w:t>
      </w:r>
    </w:p>
    <w:p>
      <w:pPr>
        <w:pStyle w:val="FirstParagraph"/>
      </w:pPr>
      <w:r>
        <w:t xml:space="preserve">Holtfaction’s immediate objectives are to:</w:t>
      </w:r>
    </w:p>
    <w:p>
      <w:pPr>
        <w:pStyle w:val="Compact"/>
        <w:numPr>
          <w:ilvl w:val="0"/>
          <w:numId w:val="1013"/>
        </w:numPr>
      </w:pPr>
      <w:r>
        <w:t xml:space="preserve">Establish and strengthen business operations</w:t>
      </w:r>
    </w:p>
    <w:p>
      <w:pPr>
        <w:pStyle w:val="Compact"/>
        <w:numPr>
          <w:ilvl w:val="0"/>
          <w:numId w:val="1013"/>
        </w:numPr>
      </w:pPr>
      <w:r>
        <w:t xml:space="preserve">Continue releasing original music</w:t>
      </w:r>
    </w:p>
    <w:p>
      <w:pPr>
        <w:pStyle w:val="Compact"/>
        <w:numPr>
          <w:ilvl w:val="0"/>
          <w:numId w:val="1013"/>
        </w:numPr>
      </w:pPr>
      <w:r>
        <w:t xml:space="preserve">Expand venue relationships</w:t>
      </w:r>
    </w:p>
    <w:p>
      <w:pPr>
        <w:pStyle w:val="Compact"/>
        <w:numPr>
          <w:ilvl w:val="0"/>
          <w:numId w:val="1013"/>
        </w:numPr>
      </w:pPr>
      <w:r>
        <w:t xml:space="preserve">Develop promoter relationships</w:t>
      </w:r>
    </w:p>
    <w:p>
      <w:pPr>
        <w:pStyle w:val="Compact"/>
        <w:numPr>
          <w:ilvl w:val="0"/>
          <w:numId w:val="1013"/>
        </w:numPr>
      </w:pPr>
      <w:r>
        <w:t xml:space="preserve">Increase social-media reach</w:t>
      </w:r>
    </w:p>
    <w:p>
      <w:pPr>
        <w:pStyle w:val="Compact"/>
        <w:numPr>
          <w:ilvl w:val="0"/>
          <w:numId w:val="1013"/>
        </w:numPr>
      </w:pPr>
      <w:r>
        <w:t xml:space="preserve">Develop merchandise</w:t>
      </w:r>
    </w:p>
    <w:p>
      <w:pPr>
        <w:pStyle w:val="Compact"/>
        <w:numPr>
          <w:ilvl w:val="0"/>
          <w:numId w:val="1013"/>
        </w:numPr>
      </w:pPr>
      <w:r>
        <w:t xml:space="preserve">Establish East Coast touring routes</w:t>
      </w:r>
    </w:p>
    <w:p>
      <w:pPr>
        <w:pStyle w:val="Compact"/>
        <w:numPr>
          <w:ilvl w:val="0"/>
          <w:numId w:val="1013"/>
        </w:numPr>
      </w:pPr>
      <w:r>
        <w:t xml:space="preserve">Build financial and operating history</w:t>
      </w:r>
    </w:p>
    <w:p>
      <w:pPr>
        <w:pStyle w:val="Compact"/>
        <w:numPr>
          <w:ilvl w:val="0"/>
          <w:numId w:val="1013"/>
        </w:numPr>
      </w:pPr>
      <w:r>
        <w:t xml:space="preserve">Prepare for the 2027 touring season</w:t>
      </w:r>
    </w:p>
    <w:bookmarkEnd w:id="51"/>
    <w:bookmarkStart w:id="52" w:name="regional-expansion"/>
    <w:p>
      <w:pPr>
        <w:pStyle w:val="Heading2"/>
      </w:pPr>
      <w:r>
        <w:t xml:space="preserve">2027 — Regional Expansion</w:t>
      </w:r>
    </w:p>
    <w:p>
      <w:pPr>
        <w:pStyle w:val="FirstParagraph"/>
      </w:pPr>
      <w:r>
        <w:t xml:space="preserve">The company’s primary objective for 2027 is to execute its expanded East Coast touring strategy.</w:t>
      </w:r>
    </w:p>
    <w:p>
      <w:pPr>
        <w:pStyle w:val="BodyText"/>
      </w:pPr>
      <w:r>
        <w:t xml:space="preserve">Goals include:</w:t>
      </w:r>
    </w:p>
    <w:p>
      <w:pPr>
        <w:pStyle w:val="Compact"/>
        <w:numPr>
          <w:ilvl w:val="0"/>
          <w:numId w:val="1014"/>
        </w:numPr>
      </w:pPr>
      <w:r>
        <w:t xml:space="preserve">Increase paid performances</w:t>
      </w:r>
    </w:p>
    <w:p>
      <w:pPr>
        <w:pStyle w:val="Compact"/>
        <w:numPr>
          <w:ilvl w:val="0"/>
          <w:numId w:val="1014"/>
        </w:numPr>
      </w:pPr>
      <w:r>
        <w:t xml:space="preserve">Increase gross business revenue</w:t>
      </w:r>
    </w:p>
    <w:p>
      <w:pPr>
        <w:pStyle w:val="Compact"/>
        <w:numPr>
          <w:ilvl w:val="0"/>
          <w:numId w:val="1014"/>
        </w:numPr>
      </w:pPr>
      <w:r>
        <w:t xml:space="preserve">Expand audience reach</w:t>
      </w:r>
    </w:p>
    <w:p>
      <w:pPr>
        <w:pStyle w:val="Compact"/>
        <w:numPr>
          <w:ilvl w:val="0"/>
          <w:numId w:val="1014"/>
        </w:numPr>
      </w:pPr>
      <w:r>
        <w:t xml:space="preserve">Establish repeat relationships with venues</w:t>
      </w:r>
    </w:p>
    <w:p>
      <w:pPr>
        <w:pStyle w:val="Compact"/>
        <w:numPr>
          <w:ilvl w:val="0"/>
          <w:numId w:val="1014"/>
        </w:numPr>
      </w:pPr>
      <w:r>
        <w:t xml:space="preserve">Pursue festivals</w:t>
      </w:r>
    </w:p>
    <w:p>
      <w:pPr>
        <w:pStyle w:val="Compact"/>
        <w:numPr>
          <w:ilvl w:val="0"/>
          <w:numId w:val="1014"/>
        </w:numPr>
      </w:pPr>
      <w:r>
        <w:t xml:space="preserve">Pursue opening slots for established artists</w:t>
      </w:r>
    </w:p>
    <w:p>
      <w:pPr>
        <w:pStyle w:val="Compact"/>
        <w:numPr>
          <w:ilvl w:val="0"/>
          <w:numId w:val="1014"/>
        </w:numPr>
      </w:pPr>
      <w:r>
        <w:t xml:space="preserve">Increase merchandise sales</w:t>
      </w:r>
    </w:p>
    <w:p>
      <w:pPr>
        <w:pStyle w:val="Compact"/>
        <w:numPr>
          <w:ilvl w:val="0"/>
          <w:numId w:val="1014"/>
        </w:numPr>
      </w:pPr>
      <w:r>
        <w:t xml:space="preserve">Release additional music</w:t>
      </w:r>
    </w:p>
    <w:p>
      <w:pPr>
        <w:pStyle w:val="Compact"/>
        <w:numPr>
          <w:ilvl w:val="0"/>
          <w:numId w:val="1014"/>
        </w:numPr>
      </w:pPr>
      <w:r>
        <w:t xml:space="preserve">Develop new geographic markets</w:t>
      </w:r>
    </w:p>
    <w:bookmarkEnd w:id="52"/>
    <w:bookmarkStart w:id="53" w:name="and-beyond-national-expansion"/>
    <w:p>
      <w:pPr>
        <w:pStyle w:val="Heading2"/>
      </w:pPr>
      <w:r>
        <w:t xml:space="preserve">2028 and Beyond — National Expansion</w:t>
      </w:r>
    </w:p>
    <w:p>
      <w:pPr>
        <w:pStyle w:val="FirstParagraph"/>
      </w:pPr>
      <w:r>
        <w:t xml:space="preserve">Following the development of a successful East Coast touring circuit, Holtfaction intends to expand into additional U.S. markets.</w:t>
      </w:r>
    </w:p>
    <w:p>
      <w:pPr>
        <w:pStyle w:val="BodyText"/>
      </w:pPr>
      <w:r>
        <w:t xml:space="preserve">Long-term goals include:</w:t>
      </w:r>
    </w:p>
    <w:p>
      <w:pPr>
        <w:pStyle w:val="Compact"/>
        <w:numPr>
          <w:ilvl w:val="0"/>
          <w:numId w:val="1015"/>
        </w:numPr>
      </w:pPr>
      <w:r>
        <w:t xml:space="preserve">National touring</w:t>
      </w:r>
    </w:p>
    <w:p>
      <w:pPr>
        <w:pStyle w:val="Compact"/>
        <w:numPr>
          <w:ilvl w:val="0"/>
          <w:numId w:val="1015"/>
        </w:numPr>
      </w:pPr>
      <w:r>
        <w:t xml:space="preserve">Larger venues</w:t>
      </w:r>
    </w:p>
    <w:p>
      <w:pPr>
        <w:pStyle w:val="Compact"/>
        <w:numPr>
          <w:ilvl w:val="0"/>
          <w:numId w:val="1015"/>
        </w:numPr>
      </w:pPr>
      <w:r>
        <w:t xml:space="preserve">Larger festivals</w:t>
      </w:r>
    </w:p>
    <w:p>
      <w:pPr>
        <w:pStyle w:val="Compact"/>
        <w:numPr>
          <w:ilvl w:val="0"/>
          <w:numId w:val="1015"/>
        </w:numPr>
      </w:pPr>
      <w:r>
        <w:t xml:space="preserve">Increased merchandise production</w:t>
      </w:r>
    </w:p>
    <w:p>
      <w:pPr>
        <w:pStyle w:val="Compact"/>
        <w:numPr>
          <w:ilvl w:val="0"/>
          <w:numId w:val="1015"/>
        </w:numPr>
      </w:pPr>
      <w:r>
        <w:t xml:space="preserve">Expanded recording operations</w:t>
      </w:r>
    </w:p>
    <w:p>
      <w:pPr>
        <w:pStyle w:val="Compact"/>
        <w:numPr>
          <w:ilvl w:val="0"/>
          <w:numId w:val="1015"/>
        </w:numPr>
      </w:pPr>
      <w:r>
        <w:t xml:space="preserve">Licensing opportunities</w:t>
      </w:r>
    </w:p>
    <w:p>
      <w:pPr>
        <w:pStyle w:val="Compact"/>
        <w:numPr>
          <w:ilvl w:val="0"/>
          <w:numId w:val="1015"/>
        </w:numPr>
      </w:pPr>
      <w:r>
        <w:t xml:space="preserve">Increased annual revenue</w:t>
      </w:r>
    </w:p>
    <w:p>
      <w:pPr>
        <w:pStyle w:val="Compact"/>
        <w:numPr>
          <w:ilvl w:val="0"/>
          <w:numId w:val="1015"/>
        </w:numPr>
      </w:pPr>
      <w:r>
        <w:t xml:space="preserve">Expansion of the company’s business assets</w:t>
      </w:r>
    </w:p>
    <w:p>
      <w:r>
        <w:pict>
          <v:rect style="width:0;height:1.5pt" o:hralign="center" o:hrstd="t" o:hr="t"/>
        </w:pict>
      </w:r>
    </w:p>
    <w:bookmarkEnd w:id="53"/>
    <w:bookmarkEnd w:id="54"/>
    <w:bookmarkStart w:id="55" w:name="financial-management"/>
    <w:p>
      <w:pPr>
        <w:pStyle w:val="Heading1"/>
      </w:pPr>
      <w:r>
        <w:t xml:space="preserve">20. Financial Management</w:t>
      </w:r>
    </w:p>
    <w:p>
      <w:pPr>
        <w:pStyle w:val="FirstParagraph"/>
      </w:pPr>
      <w:r>
        <w:t xml:space="preserve">Holtfaction intends to maintain disciplined financial management as the company expands.</w:t>
      </w:r>
    </w:p>
    <w:p>
      <w:pPr>
        <w:pStyle w:val="BodyText"/>
      </w:pPr>
      <w:r>
        <w:t xml:space="preserve">The company will track:</w:t>
      </w:r>
    </w:p>
    <w:p>
      <w:pPr>
        <w:pStyle w:val="Compact"/>
        <w:numPr>
          <w:ilvl w:val="0"/>
          <w:numId w:val="1016"/>
        </w:numPr>
      </w:pPr>
      <w:r>
        <w:t xml:space="preserve">Gross performance revenue</w:t>
      </w:r>
    </w:p>
    <w:p>
      <w:pPr>
        <w:pStyle w:val="Compact"/>
        <w:numPr>
          <w:ilvl w:val="0"/>
          <w:numId w:val="1016"/>
        </w:numPr>
      </w:pPr>
      <w:r>
        <w:t xml:space="preserve">Merchandise revenue</w:t>
      </w:r>
    </w:p>
    <w:p>
      <w:pPr>
        <w:pStyle w:val="Compact"/>
        <w:numPr>
          <w:ilvl w:val="0"/>
          <w:numId w:val="1016"/>
        </w:numPr>
      </w:pPr>
      <w:r>
        <w:t xml:space="preserve">Music revenue</w:t>
      </w:r>
    </w:p>
    <w:p>
      <w:pPr>
        <w:pStyle w:val="Compact"/>
        <w:numPr>
          <w:ilvl w:val="0"/>
          <w:numId w:val="1016"/>
        </w:numPr>
      </w:pPr>
      <w:r>
        <w:t xml:space="preserve">Transportation costs</w:t>
      </w:r>
    </w:p>
    <w:p>
      <w:pPr>
        <w:pStyle w:val="Compact"/>
        <w:numPr>
          <w:ilvl w:val="0"/>
          <w:numId w:val="1016"/>
        </w:numPr>
      </w:pPr>
      <w:r>
        <w:t xml:space="preserve">Fuel</w:t>
      </w:r>
    </w:p>
    <w:p>
      <w:pPr>
        <w:pStyle w:val="Compact"/>
        <w:numPr>
          <w:ilvl w:val="0"/>
          <w:numId w:val="1016"/>
        </w:numPr>
      </w:pPr>
      <w:r>
        <w:t xml:space="preserve">Lodging</w:t>
      </w:r>
    </w:p>
    <w:p>
      <w:pPr>
        <w:pStyle w:val="Compact"/>
        <w:numPr>
          <w:ilvl w:val="0"/>
          <w:numId w:val="1016"/>
        </w:numPr>
      </w:pPr>
      <w:r>
        <w:t xml:space="preserve">Equipment expenses</w:t>
      </w:r>
    </w:p>
    <w:p>
      <w:pPr>
        <w:pStyle w:val="Compact"/>
        <w:numPr>
          <w:ilvl w:val="0"/>
          <w:numId w:val="1016"/>
        </w:numPr>
      </w:pPr>
      <w:r>
        <w:t xml:space="preserve">Recording expenses</w:t>
      </w:r>
    </w:p>
    <w:p>
      <w:pPr>
        <w:pStyle w:val="Compact"/>
        <w:numPr>
          <w:ilvl w:val="0"/>
          <w:numId w:val="1016"/>
        </w:numPr>
      </w:pPr>
      <w:r>
        <w:t xml:space="preserve">Marketing expenses</w:t>
      </w:r>
    </w:p>
    <w:p>
      <w:pPr>
        <w:pStyle w:val="Compact"/>
        <w:numPr>
          <w:ilvl w:val="0"/>
          <w:numId w:val="1016"/>
        </w:numPr>
      </w:pPr>
      <w:r>
        <w:t xml:space="preserve">Insurance</w:t>
      </w:r>
    </w:p>
    <w:p>
      <w:pPr>
        <w:pStyle w:val="Compact"/>
        <w:numPr>
          <w:ilvl w:val="0"/>
          <w:numId w:val="1016"/>
        </w:numPr>
      </w:pPr>
      <w:r>
        <w:t xml:space="preserve">Booking expenses</w:t>
      </w:r>
    </w:p>
    <w:p>
      <w:pPr>
        <w:pStyle w:val="Compact"/>
        <w:numPr>
          <w:ilvl w:val="0"/>
          <w:numId w:val="1016"/>
        </w:numPr>
      </w:pPr>
      <w:r>
        <w:t xml:space="preserve">Business fees</w:t>
      </w:r>
    </w:p>
    <w:p>
      <w:pPr>
        <w:pStyle w:val="Compact"/>
        <w:numPr>
          <w:ilvl w:val="0"/>
          <w:numId w:val="1016"/>
        </w:numPr>
      </w:pPr>
      <w:r>
        <w:t xml:space="preserve">Loan payments</w:t>
      </w:r>
    </w:p>
    <w:p>
      <w:pPr>
        <w:pStyle w:val="Compact"/>
        <w:numPr>
          <w:ilvl w:val="0"/>
          <w:numId w:val="1016"/>
        </w:numPr>
      </w:pPr>
      <w:r>
        <w:t xml:space="preserve">Taxes</w:t>
      </w:r>
    </w:p>
    <w:p>
      <w:pPr>
        <w:pStyle w:val="Compact"/>
        <w:numPr>
          <w:ilvl w:val="0"/>
          <w:numId w:val="1016"/>
        </w:numPr>
      </w:pPr>
      <w:r>
        <w:t xml:space="preserve">Working capital</w:t>
      </w:r>
    </w:p>
    <w:p>
      <w:pPr>
        <w:pStyle w:val="FirstParagraph"/>
      </w:pPr>
      <w:r>
        <w:t xml:space="preserve">Business income and expenses will be tracked separately from personal finances.</w:t>
      </w:r>
    </w:p>
    <w:p>
      <w:pPr>
        <w:pStyle w:val="BodyText"/>
      </w:pPr>
      <w:r>
        <w:t xml:space="preserve">The company will maintain appropriate documentation for business expenditures and will provide financial records to the lending institution as required.</w:t>
      </w:r>
    </w:p>
    <w:p>
      <w:r>
        <w:pict>
          <v:rect style="width:0;height:1.5pt" o:hralign="center" o:hrstd="t" o:hr="t"/>
        </w:pict>
      </w:r>
    </w:p>
    <w:bookmarkEnd w:id="55"/>
    <w:bookmarkStart w:id="56" w:name="loan-repayment-strategy"/>
    <w:p>
      <w:pPr>
        <w:pStyle w:val="Heading1"/>
      </w:pPr>
      <w:r>
        <w:t xml:space="preserve">21. Loan Repayment Strategy</w:t>
      </w:r>
    </w:p>
    <w:p>
      <w:pPr>
        <w:pStyle w:val="FirstParagraph"/>
      </w:pPr>
      <w:r>
        <w:t xml:space="preserve">Holtfaction intends to service the proposed business loan through revenue generated by the company’s operations.</w:t>
      </w:r>
    </w:p>
    <w:p>
      <w:pPr>
        <w:pStyle w:val="BodyText"/>
      </w:pPr>
      <w:r>
        <w:t xml:space="preserve">Primary repayment sources will include:</w:t>
      </w:r>
    </w:p>
    <w:p>
      <w:pPr>
        <w:pStyle w:val="Compact"/>
        <w:numPr>
          <w:ilvl w:val="0"/>
          <w:numId w:val="1017"/>
        </w:numPr>
      </w:pPr>
      <w:r>
        <w:t xml:space="preserve">Live performance income</w:t>
      </w:r>
    </w:p>
    <w:p>
      <w:pPr>
        <w:pStyle w:val="Compact"/>
        <w:numPr>
          <w:ilvl w:val="0"/>
          <w:numId w:val="1017"/>
        </w:numPr>
      </w:pPr>
      <w:r>
        <w:t xml:space="preserve">Merchandise sales</w:t>
      </w:r>
    </w:p>
    <w:p>
      <w:pPr>
        <w:pStyle w:val="Compact"/>
        <w:numPr>
          <w:ilvl w:val="0"/>
          <w:numId w:val="1017"/>
        </w:numPr>
      </w:pPr>
      <w:r>
        <w:t xml:space="preserve">Recorded music revenue</w:t>
      </w:r>
    </w:p>
    <w:p>
      <w:pPr>
        <w:pStyle w:val="Compact"/>
        <w:numPr>
          <w:ilvl w:val="0"/>
          <w:numId w:val="1017"/>
        </w:numPr>
      </w:pPr>
      <w:r>
        <w:t xml:space="preserve">Streaming and digital revenue</w:t>
      </w:r>
    </w:p>
    <w:p>
      <w:pPr>
        <w:pStyle w:val="Compact"/>
        <w:numPr>
          <w:ilvl w:val="0"/>
          <w:numId w:val="1017"/>
        </w:numPr>
      </w:pPr>
      <w:r>
        <w:t xml:space="preserve">Festival and event income</w:t>
      </w:r>
    </w:p>
    <w:p>
      <w:pPr>
        <w:pStyle w:val="Compact"/>
        <w:numPr>
          <w:ilvl w:val="0"/>
          <w:numId w:val="1017"/>
        </w:numPr>
      </w:pPr>
      <w:r>
        <w:t xml:space="preserve">Opening/support performance income</w:t>
      </w:r>
    </w:p>
    <w:p>
      <w:pPr>
        <w:pStyle w:val="Compact"/>
        <w:numPr>
          <w:ilvl w:val="0"/>
          <w:numId w:val="1017"/>
        </w:numPr>
      </w:pPr>
      <w:r>
        <w:t xml:space="preserve">Additional entertainment and commercial opportunities</w:t>
      </w:r>
    </w:p>
    <w:p>
      <w:pPr>
        <w:pStyle w:val="FirstParagraph"/>
      </w:pPr>
      <w:r>
        <w:t xml:space="preserve">The company’s planned touring expansion is intended to substantially increase the number of revenue-producing performances.</w:t>
      </w:r>
    </w:p>
    <w:p>
      <w:pPr>
        <w:pStyle w:val="BodyText"/>
      </w:pPr>
      <w:r>
        <w:t xml:space="preserve">The company will prioritize financially responsible bookings by evaluating compensation, travel costs, lodging requirements, audience development, and future booking potential.</w:t>
      </w:r>
    </w:p>
    <w:p>
      <w:pPr>
        <w:pStyle w:val="BodyText"/>
      </w:pPr>
      <w:r>
        <w:t xml:space="preserve">The dedicated touring vehicle is also expected to reduce certain recurring transportation and lodging expenses associated with extended touring.</w:t>
      </w:r>
    </w:p>
    <w:p>
      <w:r>
        <w:pict>
          <v:rect style="width:0;height:1.5pt" o:hralign="center" o:hrstd="t" o:hr="t"/>
        </w:pict>
      </w:r>
    </w:p>
    <w:bookmarkEnd w:id="56"/>
    <w:bookmarkStart w:id="57" w:name="risk-management"/>
    <w:p>
      <w:pPr>
        <w:pStyle w:val="Heading1"/>
      </w:pPr>
      <w:r>
        <w:t xml:space="preserve">22. Risk Management</w:t>
      </w:r>
    </w:p>
    <w:p>
      <w:pPr>
        <w:pStyle w:val="FirstParagraph"/>
      </w:pPr>
      <w:r>
        <w:t xml:space="preserve">Holtfaction recognizes that the entertainment industry contains inherent variability in performance revenue.</w:t>
      </w:r>
    </w:p>
    <w:p>
      <w:pPr>
        <w:pStyle w:val="BodyText"/>
      </w:pPr>
      <w:r>
        <w:t xml:space="preserve">To manage this risk, the company intends to:</w:t>
      </w:r>
    </w:p>
    <w:p>
      <w:pPr>
        <w:pStyle w:val="Compact"/>
        <w:numPr>
          <w:ilvl w:val="0"/>
          <w:numId w:val="1018"/>
        </w:numPr>
      </w:pPr>
      <w:r>
        <w:t xml:space="preserve">Maintain multiple revenue streams</w:t>
      </w:r>
    </w:p>
    <w:p>
      <w:pPr>
        <w:pStyle w:val="Compact"/>
        <w:numPr>
          <w:ilvl w:val="0"/>
          <w:numId w:val="1018"/>
        </w:numPr>
      </w:pPr>
      <w:r>
        <w:t xml:space="preserve">Maintain a working-capital reserve</w:t>
      </w:r>
    </w:p>
    <w:p>
      <w:pPr>
        <w:pStyle w:val="Compact"/>
        <w:numPr>
          <w:ilvl w:val="0"/>
          <w:numId w:val="1018"/>
        </w:numPr>
      </w:pPr>
      <w:r>
        <w:t xml:space="preserve">Develop repeat venue relationships</w:t>
      </w:r>
    </w:p>
    <w:p>
      <w:pPr>
        <w:pStyle w:val="Compact"/>
        <w:numPr>
          <w:ilvl w:val="0"/>
          <w:numId w:val="1018"/>
        </w:numPr>
      </w:pPr>
      <w:r>
        <w:t xml:space="preserve">Build geographically efficient tours</w:t>
      </w:r>
    </w:p>
    <w:p>
      <w:pPr>
        <w:pStyle w:val="Compact"/>
        <w:numPr>
          <w:ilvl w:val="0"/>
          <w:numId w:val="1018"/>
        </w:numPr>
      </w:pPr>
      <w:r>
        <w:t xml:space="preserve">Avoid excessive dependence on individual performances</w:t>
      </w:r>
    </w:p>
    <w:p>
      <w:pPr>
        <w:pStyle w:val="Compact"/>
        <w:numPr>
          <w:ilvl w:val="0"/>
          <w:numId w:val="1018"/>
        </w:numPr>
      </w:pPr>
      <w:r>
        <w:t xml:space="preserve">Maintain business insurance</w:t>
      </w:r>
    </w:p>
    <w:p>
      <w:pPr>
        <w:pStyle w:val="Compact"/>
        <w:numPr>
          <w:ilvl w:val="0"/>
          <w:numId w:val="1018"/>
        </w:numPr>
      </w:pPr>
      <w:r>
        <w:t xml:space="preserve">Properly maintain business equipment</w:t>
      </w:r>
    </w:p>
    <w:p>
      <w:pPr>
        <w:pStyle w:val="Compact"/>
        <w:numPr>
          <w:ilvl w:val="0"/>
          <w:numId w:val="1018"/>
        </w:numPr>
      </w:pPr>
      <w:r>
        <w:t xml:space="preserve">Maintain reliable transportation</w:t>
      </w:r>
    </w:p>
    <w:p>
      <w:pPr>
        <w:pStyle w:val="Compact"/>
        <w:numPr>
          <w:ilvl w:val="0"/>
          <w:numId w:val="1018"/>
        </w:numPr>
      </w:pPr>
      <w:r>
        <w:t xml:space="preserve">Monitor tour profitability</w:t>
      </w:r>
    </w:p>
    <w:p>
      <w:pPr>
        <w:pStyle w:val="Compact"/>
        <w:numPr>
          <w:ilvl w:val="0"/>
          <w:numId w:val="1018"/>
        </w:numPr>
      </w:pPr>
      <w:r>
        <w:t xml:space="preserve">Track revenue and expenses on a continuing basis</w:t>
      </w:r>
    </w:p>
    <w:p>
      <w:pPr>
        <w:pStyle w:val="FirstParagraph"/>
      </w:pPr>
      <w:r>
        <w:t xml:space="preserve">The company intends to grow incrementally while maintaining sufficient working capital.</w:t>
      </w:r>
    </w:p>
    <w:p>
      <w:r>
        <w:pict>
          <v:rect style="width:0;height:1.5pt" o:hralign="center" o:hrstd="t" o:hr="t"/>
        </w:pict>
      </w:r>
    </w:p>
    <w:bookmarkEnd w:id="57"/>
    <w:bookmarkStart w:id="58" w:name="supporting-documentation"/>
    <w:p>
      <w:pPr>
        <w:pStyle w:val="Heading1"/>
      </w:pPr>
      <w:r>
        <w:t xml:space="preserve">23. Supporting Documentation</w:t>
      </w:r>
    </w:p>
    <w:p>
      <w:pPr>
        <w:pStyle w:val="FirstParagraph"/>
      </w:pPr>
      <w:r>
        <w:t xml:space="preserve">Holtfaction LLC can provide supporting documentation to the lending institution, including:</w:t>
      </w:r>
    </w:p>
    <w:p>
      <w:pPr>
        <w:pStyle w:val="Compact"/>
        <w:numPr>
          <w:ilvl w:val="0"/>
          <w:numId w:val="1019"/>
        </w:numPr>
      </w:pPr>
      <w:r>
        <w:t xml:space="preserve">LLC formation documentation</w:t>
      </w:r>
    </w:p>
    <w:p>
      <w:pPr>
        <w:pStyle w:val="Compact"/>
        <w:numPr>
          <w:ilvl w:val="0"/>
          <w:numId w:val="1019"/>
        </w:numPr>
      </w:pPr>
      <w:r>
        <w:t xml:space="preserve">Federal EIN documentation</w:t>
      </w:r>
    </w:p>
    <w:p>
      <w:pPr>
        <w:pStyle w:val="Compact"/>
        <w:numPr>
          <w:ilvl w:val="0"/>
          <w:numId w:val="1019"/>
        </w:numPr>
      </w:pPr>
      <w:r>
        <w:t xml:space="preserve">Business insurance documentation</w:t>
      </w:r>
    </w:p>
    <w:p>
      <w:pPr>
        <w:pStyle w:val="Compact"/>
        <w:numPr>
          <w:ilvl w:val="0"/>
          <w:numId w:val="1019"/>
        </w:numPr>
      </w:pPr>
      <w:r>
        <w:t xml:space="preserve">Business bank statements</w:t>
      </w:r>
    </w:p>
    <w:p>
      <w:pPr>
        <w:pStyle w:val="Compact"/>
        <w:numPr>
          <w:ilvl w:val="0"/>
          <w:numId w:val="1019"/>
        </w:numPr>
      </w:pPr>
      <w:r>
        <w:t xml:space="preserve">Financial statements</w:t>
      </w:r>
    </w:p>
    <w:p>
      <w:pPr>
        <w:pStyle w:val="Compact"/>
        <w:numPr>
          <w:ilvl w:val="0"/>
          <w:numId w:val="1019"/>
        </w:numPr>
      </w:pPr>
      <w:r>
        <w:t xml:space="preserve">Tax documentation as required</w:t>
      </w:r>
    </w:p>
    <w:p>
      <w:pPr>
        <w:pStyle w:val="Compact"/>
        <w:numPr>
          <w:ilvl w:val="0"/>
          <w:numId w:val="1019"/>
        </w:numPr>
      </w:pPr>
      <w:r>
        <w:t xml:space="preserve">Performance history</w:t>
      </w:r>
    </w:p>
    <w:p>
      <w:pPr>
        <w:pStyle w:val="Compact"/>
        <w:numPr>
          <w:ilvl w:val="0"/>
          <w:numId w:val="1019"/>
        </w:numPr>
      </w:pPr>
      <w:r>
        <w:t xml:space="preserve">Venue correspondence</w:t>
      </w:r>
    </w:p>
    <w:p>
      <w:pPr>
        <w:pStyle w:val="Compact"/>
        <w:numPr>
          <w:ilvl w:val="0"/>
          <w:numId w:val="1019"/>
        </w:numPr>
      </w:pPr>
      <w:r>
        <w:t xml:space="preserve">Booking correspondence</w:t>
      </w:r>
    </w:p>
    <w:p>
      <w:pPr>
        <w:pStyle w:val="Compact"/>
        <w:numPr>
          <w:ilvl w:val="0"/>
          <w:numId w:val="1019"/>
        </w:numPr>
      </w:pPr>
      <w:r>
        <w:t xml:space="preserve">Tour projections</w:t>
      </w:r>
    </w:p>
    <w:p>
      <w:pPr>
        <w:pStyle w:val="Compact"/>
        <w:numPr>
          <w:ilvl w:val="0"/>
          <w:numId w:val="1019"/>
        </w:numPr>
      </w:pPr>
      <w:r>
        <w:t xml:space="preserve">Electronic press kit</w:t>
      </w:r>
    </w:p>
    <w:p>
      <w:pPr>
        <w:pStyle w:val="Compact"/>
        <w:numPr>
          <w:ilvl w:val="0"/>
          <w:numId w:val="1019"/>
        </w:numPr>
      </w:pPr>
      <w:r>
        <w:t xml:space="preserve">Website</w:t>
      </w:r>
    </w:p>
    <w:p>
      <w:pPr>
        <w:pStyle w:val="Compact"/>
        <w:numPr>
          <w:ilvl w:val="0"/>
          <w:numId w:val="1019"/>
        </w:numPr>
      </w:pPr>
      <w:r>
        <w:t xml:space="preserve">Social-media information</w:t>
      </w:r>
    </w:p>
    <w:p>
      <w:pPr>
        <w:pStyle w:val="Compact"/>
        <w:numPr>
          <w:ilvl w:val="0"/>
          <w:numId w:val="1019"/>
        </w:numPr>
      </w:pPr>
      <w:r>
        <w:t xml:space="preserve">Merchandise information</w:t>
      </w:r>
    </w:p>
    <w:p>
      <w:pPr>
        <w:pStyle w:val="Compact"/>
        <w:numPr>
          <w:ilvl w:val="0"/>
          <w:numId w:val="1019"/>
        </w:numPr>
      </w:pPr>
      <w:r>
        <w:t xml:space="preserve">Equipment information</w:t>
      </w:r>
    </w:p>
    <w:p>
      <w:pPr>
        <w:pStyle w:val="Compact"/>
        <w:numPr>
          <w:ilvl w:val="0"/>
          <w:numId w:val="1019"/>
        </w:numPr>
      </w:pPr>
      <w:r>
        <w:t xml:space="preserve">Proposed touring vehicle information</w:t>
      </w:r>
    </w:p>
    <w:p>
      <w:pPr>
        <w:pStyle w:val="Compact"/>
        <w:numPr>
          <w:ilvl w:val="0"/>
          <w:numId w:val="1019"/>
        </w:numPr>
      </w:pPr>
      <w:r>
        <w:t xml:space="preserve">Detailed use-of-funds documentation</w:t>
      </w:r>
    </w:p>
    <w:p>
      <w:pPr>
        <w:pStyle w:val="FirstParagraph"/>
      </w:pPr>
      <w:r>
        <w:t xml:space="preserve">Additional documentation can be provided upon request.</w:t>
      </w:r>
    </w:p>
    <w:p>
      <w:r>
        <w:pict>
          <v:rect style="width:0;height:1.5pt" o:hralign="center" o:hrstd="t" o:hr="t"/>
        </w:pict>
      </w:r>
    </w:p>
    <w:bookmarkEnd w:id="58"/>
    <w:bookmarkStart w:id="62" w:name="conclusion"/>
    <w:p>
      <w:pPr>
        <w:pStyle w:val="Heading1"/>
      </w:pPr>
      <w:r>
        <w:t xml:space="preserve">24. Conclusion</w:t>
      </w:r>
    </w:p>
    <w:p>
      <w:pPr>
        <w:pStyle w:val="FirstParagraph"/>
      </w:pPr>
      <w:r>
        <w:t xml:space="preserve">Holtfaction LLC is seeking financing to transition an established independent music operation into a larger, professionally structured touring business.</w:t>
      </w:r>
    </w:p>
    <w:p>
      <w:pPr>
        <w:pStyle w:val="BodyText"/>
      </w:pPr>
      <w:r>
        <w:t xml:space="preserve">The company has established its legal business structure, developed its brand, produced original music, established an audience, developed live-performance experience, and begun building relationships with venues and promoters throughout the Eastern United States.</w:t>
      </w:r>
    </w:p>
    <w:p>
      <w:pPr>
        <w:pStyle w:val="BodyText"/>
      </w:pPr>
      <w:r>
        <w:t xml:space="preserve">The requested</w:t>
      </w:r>
      <w:r>
        <w:t xml:space="preserve"> </w:t>
      </w:r>
      <w:r>
        <w:rPr>
          <w:b/>
          <w:bCs/>
        </w:rPr>
        <w:t xml:space="preserve">$150,000 business loan</w:t>
      </w:r>
      <w:r>
        <w:t xml:space="preserve"> </w:t>
      </w:r>
      <w:r>
        <w:t xml:space="preserve">will provide Holtfaction with the infrastructure required to pursue its next stage of growth.</w:t>
      </w:r>
    </w:p>
    <w:p>
      <w:pPr>
        <w:pStyle w:val="BodyText"/>
      </w:pPr>
      <w:r>
        <w:t xml:space="preserve">The most significant investment,</w:t>
      </w:r>
      <w:r>
        <w:t xml:space="preserve"> </w:t>
      </w:r>
      <w:r>
        <w:rPr>
          <w:b/>
          <w:bCs/>
        </w:rPr>
        <w:t xml:space="preserve">$100,000 toward a touring RV/transportation vehicle and related infrastructure</w:t>
      </w:r>
      <w:r>
        <w:t xml:space="preserve">, will provide the company with a long-term business asset designed to support extended touring and reduce dependence on rental transportation and lodging.</w:t>
      </w:r>
    </w:p>
    <w:p>
      <w:pPr>
        <w:pStyle w:val="BodyText"/>
      </w:pPr>
      <w:r>
        <w:t xml:space="preserve">The remaining</w:t>
      </w:r>
      <w:r>
        <w:t xml:space="preserve"> </w:t>
      </w:r>
      <w:r>
        <w:rPr>
          <w:b/>
          <w:bCs/>
        </w:rPr>
        <w:t xml:space="preserve">$50,000</w:t>
      </w:r>
      <w:r>
        <w:t xml:space="preserve"> </w:t>
      </w:r>
      <w:r>
        <w:t xml:space="preserve">will provide the company with the working capital and operational resources necessary to support recording, equipment, merchandise, marketing, fuel, travel, and ongoing business operations.</w:t>
      </w:r>
    </w:p>
    <w:p>
      <w:pPr>
        <w:pStyle w:val="BodyText"/>
      </w:pPr>
      <w:r>
        <w:t xml:space="preserve">Holtfaction’s goal is to establish a sustainable touring operation capable of generating increasing revenue through live performances, merchandise, recorded music, and related entertainment opportunities.</w:t>
      </w:r>
    </w:p>
    <w:p>
      <w:pPr>
        <w:pStyle w:val="BodyText"/>
      </w:pPr>
      <w:r>
        <w:t xml:space="preserve">The company respectfully requests consideration for the proposed</w:t>
      </w:r>
      <w:r>
        <w:t xml:space="preserve"> </w:t>
      </w:r>
      <w:r>
        <w:rPr>
          <w:b/>
          <w:bCs/>
        </w:rPr>
        <w:t xml:space="preserve">$150,000 business loan</w:t>
      </w:r>
      <w:r>
        <w:t xml:space="preserve"> </w:t>
      </w:r>
      <w:r>
        <w:t xml:space="preserve">and is prepared to provide the lending institution with the financial, legal, operational, and supporting documentation necessary for underwriting.</w:t>
      </w:r>
    </w:p>
    <w:p>
      <w:r>
        <w:pict>
          <v:rect style="width:0;height:1.5pt" o:hralign="center" o:hrstd="t" o:hr="t"/>
        </w:pict>
      </w:r>
    </w:p>
    <w:bookmarkStart w:id="61" w:name="loan-request-summary"/>
    <w:p>
      <w:pPr>
        <w:pStyle w:val="Heading2"/>
      </w:pPr>
      <w:r>
        <w:t xml:space="preserve">LOAN REQUEST SUMMARY</w:t>
      </w:r>
    </w:p>
    <w:p>
      <w:pPr>
        <w:pStyle w:val="FirstParagraph"/>
      </w:pPr>
      <w:r>
        <w:rPr>
          <w:b/>
          <w:bCs/>
        </w:rPr>
        <w:t xml:space="preserve">Borrower:</w:t>
      </w:r>
      <w:r>
        <w:t xml:space="preserve"> </w:t>
      </w:r>
      <w:r>
        <w:t xml:space="preserve">Holtfaction LLC</w:t>
      </w:r>
      <w:r>
        <w:br/>
      </w:r>
      <w:r>
        <w:rPr>
          <w:b/>
          <w:bCs/>
        </w:rPr>
        <w:t xml:space="preserve">Owner / Managing Member:</w:t>
      </w:r>
      <w:r>
        <w:t xml:space="preserve"> </w:t>
      </w:r>
      <w:r>
        <w:t xml:space="preserve">Evan Holt</w:t>
      </w:r>
      <w:r>
        <w:br/>
      </w:r>
      <w:r>
        <w:rPr>
          <w:b/>
          <w:bCs/>
        </w:rPr>
        <w:t xml:space="preserve">Business Location:</w:t>
      </w:r>
      <w:r>
        <w:t xml:space="preserve"> </w:t>
      </w:r>
      <w:r>
        <w:t xml:space="preserve">Virginia</w:t>
      </w:r>
      <w:r>
        <w:br/>
      </w:r>
      <w:r>
        <w:rPr>
          <w:b/>
          <w:bCs/>
        </w:rPr>
        <w:t xml:space="preserve">Business Established:</w:t>
      </w:r>
      <w:r>
        <w:t xml:space="preserve"> </w:t>
      </w:r>
      <w:r>
        <w:t xml:space="preserve">March 16, 2026</w:t>
      </w:r>
      <w:r>
        <w:br/>
      </w:r>
      <w:r>
        <w:rPr>
          <w:b/>
          <w:bCs/>
        </w:rPr>
        <w:t xml:space="preserve">Industry:</w:t>
      </w:r>
      <w:r>
        <w:t xml:space="preserve"> </w:t>
      </w:r>
      <w:r>
        <w:t xml:space="preserve">Music / Live Entertainment / Touring</w:t>
      </w:r>
      <w:r>
        <w:br/>
      </w:r>
      <w:r>
        <w:rPr>
          <w:b/>
          <w:bCs/>
        </w:rPr>
        <w:t xml:space="preserve">Total Financing Requested:</w:t>
      </w:r>
      <w:r>
        <w:t xml:space="preserve"> </w:t>
      </w:r>
      <w:r>
        <w:rPr>
          <w:b/>
          <w:bCs/>
        </w:rPr>
        <w:t xml:space="preserve">$150,000</w:t>
      </w:r>
    </w:p>
    <w:bookmarkStart w:id="59" w:name="proposed-allocation"/>
    <w:p>
      <w:pPr>
        <w:pStyle w:val="Heading3"/>
      </w:pPr>
      <w:r>
        <w:t xml:space="preserve">Proposed Allocation</w:t>
      </w:r>
    </w:p>
    <w:p>
      <w:pPr>
        <w:pStyle w:val="FirstParagraph"/>
      </w:pPr>
      <w:r>
        <w:rPr>
          <w:b/>
          <w:bCs/>
        </w:rPr>
        <w:t xml:space="preserve">$100,000</w:t>
      </w:r>
      <w:r>
        <w:t xml:space="preserve"> </w:t>
      </w:r>
      <w:r>
        <w:t xml:space="preserve">— Touring RV / transportation vehicle and related infrastructure</w:t>
      </w:r>
      <w:r>
        <w:br/>
      </w:r>
      <w:r>
        <w:rPr>
          <w:b/>
          <w:bCs/>
        </w:rPr>
        <w:t xml:space="preserve">$5,000</w:t>
      </w:r>
      <w:r>
        <w:t xml:space="preserve"> </w:t>
      </w:r>
      <w:r>
        <w:t xml:space="preserve">— Recording and music production</w:t>
      </w:r>
      <w:r>
        <w:br/>
      </w:r>
      <w:r>
        <w:rPr>
          <w:b/>
          <w:bCs/>
        </w:rPr>
        <w:t xml:space="preserve">$5,000</w:t>
      </w:r>
      <w:r>
        <w:t xml:space="preserve"> </w:t>
      </w:r>
      <w:r>
        <w:t xml:space="preserve">— Musical and production equipment</w:t>
      </w:r>
      <w:r>
        <w:br/>
      </w:r>
      <w:r>
        <w:rPr>
          <w:b/>
          <w:bCs/>
        </w:rPr>
        <w:t xml:space="preserve">$5,000</w:t>
      </w:r>
      <w:r>
        <w:t xml:space="preserve"> </w:t>
      </w:r>
      <w:r>
        <w:t xml:space="preserve">— Merchandise inventory</w:t>
      </w:r>
      <w:r>
        <w:br/>
      </w:r>
      <w:r>
        <w:rPr>
          <w:b/>
          <w:bCs/>
        </w:rPr>
        <w:t xml:space="preserve">$5,000</w:t>
      </w:r>
      <w:r>
        <w:t xml:space="preserve"> </w:t>
      </w:r>
      <w:r>
        <w:t xml:space="preserve">— Marketing and advertising</w:t>
      </w:r>
      <w:r>
        <w:br/>
      </w:r>
      <w:r>
        <w:rPr>
          <w:b/>
          <w:bCs/>
        </w:rPr>
        <w:t xml:space="preserve">$5,000</w:t>
      </w:r>
      <w:r>
        <w:t xml:space="preserve"> </w:t>
      </w:r>
      <w:r>
        <w:t xml:space="preserve">— Fuel and travel expenses</w:t>
      </w:r>
      <w:r>
        <w:br/>
      </w:r>
      <w:r>
        <w:rPr>
          <w:b/>
          <w:bCs/>
        </w:rPr>
        <w:t xml:space="preserve">$25,000</w:t>
      </w:r>
      <w:r>
        <w:t xml:space="preserve"> </w:t>
      </w:r>
      <w:r>
        <w:t xml:space="preserve">— Working capital reserve</w:t>
      </w:r>
    </w:p>
    <w:bookmarkEnd w:id="59"/>
    <w:bookmarkStart w:id="60" w:name="total"/>
    <w:p>
      <w:pPr>
        <w:pStyle w:val="Heading3"/>
      </w:pPr>
      <w:r>
        <w:t xml:space="preserve">Total</w:t>
      </w:r>
    </w:p>
    <w:bookmarkEnd w:id="60"/>
    <w:bookmarkEnd w:id="61"/>
    <w:bookmarkEnd w:id="62"/>
    <w:bookmarkStart w:id="63" w:name="section"/>
    <w:p>
      <w:pPr>
        <w:pStyle w:val="Heading1"/>
      </w:pPr>
      <w:r>
        <w:rPr>
          <w:b/>
          <w:bCs/>
        </w:rPr>
        <w:t xml:space="preserve">$150,000</w:t>
      </w:r>
    </w:p>
    <w:p>
      <w:r>
        <w:pict>
          <v:rect style="width:0;height:1.5pt" o:hralign="center" o:hrstd="t" o:hr="t"/>
        </w:pict>
      </w:r>
    </w:p>
    <w:p>
      <w:pPr>
        <w:pStyle w:val="FirstParagraph"/>
      </w:pPr>
      <w:r>
        <w:rPr>
          <w:b/>
          <w:bCs/>
        </w:rPr>
        <w:t xml:space="preserve">Respectfully submitted,</w:t>
      </w:r>
    </w:p>
    <w:p>
      <w:pPr>
        <w:pStyle w:val="BodyText"/>
      </w:pPr>
      <w:r>
        <w:rPr>
          <w:b/>
          <w:bCs/>
        </w:rPr>
        <w:t xml:space="preserve">Evan Holt</w:t>
      </w:r>
      <w:r>
        <w:br/>
      </w:r>
      <w:r>
        <w:t xml:space="preserve">Owner / Managing Member</w:t>
      </w:r>
      <w:r>
        <w:br/>
      </w:r>
      <w:r>
        <w:rPr>
          <w:b/>
          <w:bCs/>
        </w:rPr>
        <w:t xml:space="preserve">Holtfaction LLC</w:t>
      </w:r>
      <w:r>
        <w:br/>
      </w:r>
      <w:r>
        <w:t xml:space="preserve">Virginia</w:t>
      </w:r>
    </w:p>
    <w:p>
      <w:pPr>
        <w:pStyle w:val="BodyText"/>
      </w:pPr>
      <w:r>
        <w:rPr>
          <w:b/>
          <w:bCs/>
        </w:rPr>
        <w:t xml:space="preserve">Website:</w:t>
      </w:r>
      <w:r>
        <w:t xml:space="preserve"> </w:t>
      </w:r>
      <w:r>
        <w:t xml:space="preserve">www.holtfaction.com</w:t>
      </w:r>
    </w:p>
    <w:bookmarkEnd w:id="6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